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7F1D6">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hint="default" w:ascii="Times New Roman" w:hAnsi="Times New Roman" w:eastAsia="方正黑体简体" w:cs="Times New Roman"/>
          <w:color w:val="auto"/>
          <w:sz w:val="32"/>
          <w:szCs w:val="32"/>
          <w:lang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1</w:t>
      </w:r>
    </w:p>
    <w:p w14:paraId="2C3E812A">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hint="default" w:ascii="Times New Roman" w:hAnsi="Times New Roman" w:eastAsia="仿宋" w:cs="Times New Roman"/>
          <w:color w:val="auto"/>
          <w:sz w:val="32"/>
          <w:szCs w:val="32"/>
        </w:rPr>
      </w:pPr>
    </w:p>
    <w:p w14:paraId="4F8841D0">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临沂市社会科学规划</w:t>
      </w:r>
      <w:r>
        <w:rPr>
          <w:rFonts w:hint="default" w:ascii="Times New Roman" w:hAnsi="Times New Roman" w:eastAsia="方正小标宋简体" w:cs="Times New Roman"/>
          <w:color w:val="auto"/>
          <w:sz w:val="44"/>
          <w:szCs w:val="44"/>
          <w:lang w:eastAsia="zh-CN"/>
        </w:rPr>
        <w:t>202</w:t>
      </w:r>
      <w:r>
        <w:rPr>
          <w:rFonts w:hint="default" w:ascii="Times New Roman" w:hAnsi="Times New Roman" w:eastAsia="方正小标宋简体" w:cs="Times New Roman"/>
          <w:color w:val="auto"/>
          <w:sz w:val="44"/>
          <w:szCs w:val="44"/>
          <w:lang w:val="en-US" w:eastAsia="zh-CN"/>
        </w:rPr>
        <w:t>6</w:t>
      </w:r>
      <w:r>
        <w:rPr>
          <w:rFonts w:hint="default" w:ascii="Times New Roman" w:hAnsi="Times New Roman" w:eastAsia="方正小标宋简体" w:cs="Times New Roman"/>
          <w:color w:val="auto"/>
          <w:sz w:val="44"/>
          <w:szCs w:val="44"/>
        </w:rPr>
        <w:t>年度课题指南</w:t>
      </w:r>
    </w:p>
    <w:p w14:paraId="3CB03B2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p>
    <w:p w14:paraId="009C2D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黑体" w:cs="Times New Roman"/>
          <w:b w:val="0"/>
          <w:bCs w:val="0"/>
          <w:color w:val="auto"/>
          <w:sz w:val="32"/>
          <w:szCs w:val="32"/>
          <w:lang w:val="en-US" w:eastAsia="zh-CN"/>
        </w:rPr>
        <w:t>一、中国式现代化临沂实践研究课题</w:t>
      </w:r>
    </w:p>
    <w:p w14:paraId="5287945D">
      <w:pPr>
        <w:keepNext/>
        <w:keepLines/>
        <w:widowControl w:val="0"/>
        <w:bidi w:val="0"/>
        <w:spacing w:beforeLines="0" w:beforeAutospacing="0" w:afterLines="0" w:afterAutospacing="0" w:line="560" w:lineRule="exact"/>
        <w:ind w:firstLine="640" w:firstLineChars="200"/>
        <w:jc w:val="both"/>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（一）经济建设类</w:t>
      </w:r>
    </w:p>
    <w:p w14:paraId="64AA4584">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1.临沂市“十五五”开局之年重点项目推进保障对策研究（重点）</w:t>
      </w:r>
    </w:p>
    <w:p w14:paraId="086A7390">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2.临沂建设省区域副中心、迈向万亿城市的核心动能与实现路径研究（重点）</w:t>
      </w:r>
    </w:p>
    <w:p w14:paraId="50407FDB">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3.标志性产业链引领下临沂现代化产业体系构建与升级研究（重点）</w:t>
      </w:r>
    </w:p>
    <w:p w14:paraId="5CD66E07">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4.临沂“北方氢能之都”全产业链布局与绿色低碳转型研究（重点）</w:t>
      </w:r>
    </w:p>
    <w:p w14:paraId="7F53422E">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5.科技创新与产业融合视角下临沂体系化科研生态建设研究</w:t>
      </w:r>
    </w:p>
    <w:p w14:paraId="4BC4154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6.枢纽经济聚能工程下临沂综合交通枢纽与产业联动研究（重点）</w:t>
      </w:r>
    </w:p>
    <w:p w14:paraId="68B343C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7.临沂商城国际化数字化转型助力国内国际双循环构建研究（重点）</w:t>
      </w:r>
    </w:p>
    <w:p w14:paraId="616B8CA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8.民营经济培强工程与临沂一流营商环境优化创新研究（重点）</w:t>
      </w:r>
    </w:p>
    <w:p w14:paraId="2A5729A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9.数字经济赋能临沂传统产业“智改数转网联”研究</w:t>
      </w:r>
    </w:p>
    <w:p w14:paraId="2032E057">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10.区域协调发展战略下临沂对接长三角一体化的桥头堡建设研究（重点）</w:t>
      </w:r>
    </w:p>
    <w:p w14:paraId="73373720">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11.“沂蒙好品”区域品牌培育与市场化推广对策研究（重点）</w:t>
      </w:r>
    </w:p>
    <w:p w14:paraId="20B94A22">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12.临沂市消费能级提振的实操对策研究（重点）</w:t>
      </w:r>
    </w:p>
    <w:p w14:paraId="2E3AEC4B">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13.临沂市城市内涵式发展对策研究</w:t>
      </w:r>
    </w:p>
    <w:p w14:paraId="6E808874">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14.济南—临沂对口合作深化路径与对策研究（重点）</w:t>
      </w:r>
    </w:p>
    <w:p w14:paraId="1959D10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15.临沂市深化“百团千企·商城出海”推动市场提质升级研究（重点）</w:t>
      </w:r>
    </w:p>
    <w:p w14:paraId="203DF48D">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16.数字赋能农业工程新质生产力推动农业强市建设的路径探究</w:t>
      </w:r>
    </w:p>
    <w:p w14:paraId="3C048FE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17.临沂市文旅融合高质量发展对策研究</w:t>
      </w:r>
    </w:p>
    <w:p w14:paraId="20A1A75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18.临沂市人文经济学研究</w:t>
      </w:r>
    </w:p>
    <w:p w14:paraId="7783854B">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19.临沂市加强产业工作队伍建设改革研究</w:t>
      </w:r>
    </w:p>
    <w:p w14:paraId="4EDA3BA7">
      <w:pPr>
        <w:keepNext/>
        <w:keepLines/>
        <w:widowControl w:val="0"/>
        <w:bidi w:val="0"/>
        <w:spacing w:beforeLines="0" w:beforeAutospacing="0" w:afterLines="0" w:afterAutospacing="0" w:line="560" w:lineRule="exact"/>
        <w:ind w:firstLine="640" w:firstLineChars="200"/>
        <w:jc w:val="both"/>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（二）政治建设类</w:t>
      </w:r>
    </w:p>
    <w:p w14:paraId="57E03D6D">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1.党的创新理论研究</w:t>
      </w:r>
    </w:p>
    <w:p w14:paraId="041BB8A3">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2.党的二十届四中全会精神研究</w:t>
      </w:r>
    </w:p>
    <w:p w14:paraId="0CFF54D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3.习近平法治思想研究</w:t>
      </w:r>
    </w:p>
    <w:p w14:paraId="0DEB9F24">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4.铸牢中华民族共同体意识研究</w:t>
      </w:r>
    </w:p>
    <w:p w14:paraId="4FD0E17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5.临沂市新时代廉洁文化研究</w:t>
      </w:r>
    </w:p>
    <w:p w14:paraId="5A8A6D73">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6.临沂市宗教工作治理研究</w:t>
      </w:r>
    </w:p>
    <w:p w14:paraId="2DEBB333">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7.党建引领行业协会商会高质量发展的路径研究</w:t>
      </w:r>
    </w:p>
    <w:p w14:paraId="5F0AA7DF">
      <w:pPr>
        <w:keepNext/>
        <w:keepLines/>
        <w:widowControl w:val="0"/>
        <w:bidi w:val="0"/>
        <w:spacing w:beforeLines="0" w:beforeAutospacing="0" w:afterLines="0" w:afterAutospacing="0" w:line="560" w:lineRule="exact"/>
        <w:ind w:firstLine="640" w:firstLineChars="200"/>
        <w:jc w:val="both"/>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（三）文化建设类</w:t>
      </w:r>
    </w:p>
    <w:p w14:paraId="6C53E8B2">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bCs/>
          <w:snapToGrid/>
          <w:color w:val="auto"/>
          <w:kern w:val="2"/>
          <w:sz w:val="32"/>
          <w:szCs w:val="32"/>
          <w:lang w:val="en-US" w:eastAsia="zh-CN" w:bidi="ar-SA"/>
        </w:rPr>
      </w:pPr>
      <w:r>
        <w:rPr>
          <w:rFonts w:hint="eastAsia" w:ascii="Times New Roman" w:hAnsi="Times New Roman" w:cs="Times New Roman"/>
          <w:b/>
          <w:bCs/>
          <w:snapToGrid/>
          <w:color w:val="auto"/>
          <w:kern w:val="2"/>
          <w:sz w:val="32"/>
          <w:szCs w:val="32"/>
          <w:lang w:val="en-US" w:eastAsia="zh-CN" w:bidi="ar-SA"/>
        </w:rPr>
        <w:t>1.沂蒙精神与红色文化研究</w:t>
      </w:r>
    </w:p>
    <w:p w14:paraId="4FE946E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（1）沂蒙精神的时代价值研究</w:t>
      </w:r>
    </w:p>
    <w:p w14:paraId="13AD976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（2）沂蒙精神缘何成为党和国家宝贵精神财富的逻辑探究（重点）</w:t>
      </w:r>
    </w:p>
    <w:p w14:paraId="00D57414">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（3）沂蒙精神对新时代党的建设重要启示作用研究（重点）</w:t>
      </w:r>
    </w:p>
    <w:p w14:paraId="489D6C2D">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（4）弘扬沂蒙精神的新的时代条件研究（重点）</w:t>
      </w:r>
    </w:p>
    <w:p w14:paraId="5B667029">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（5）新时代发扬光大沂蒙精神实践路径研究（重点）</w:t>
      </w:r>
    </w:p>
    <w:p w14:paraId="16310FC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（6）沂蒙精神“党群同心”内涵具象化与基层治理融合路径研究</w:t>
      </w:r>
    </w:p>
    <w:p w14:paraId="2E63FFFD">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（7）沂蒙精神赋能临沂“省区域副中心、万亿城市”建设的动力转化机制研究</w:t>
      </w:r>
    </w:p>
    <w:p w14:paraId="5DCFD20F">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（8）沂蒙精神引领干部作风建设与正确政绩观践行的长效机制研究</w:t>
      </w:r>
    </w:p>
    <w:p w14:paraId="5D698BC2">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（9）沂蒙精神赋能临沂“十二大工程”实施的路径与机制研究</w:t>
      </w:r>
    </w:p>
    <w:p w14:paraId="102DA4A8">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（10）“红绿融合”导向下沂蒙精神与红色文旅、乡村振兴协同发展研究</w:t>
      </w:r>
    </w:p>
    <w:p w14:paraId="0885B690">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（11）沂蒙精神制度化传承的保障机制与实践效能评估研究</w:t>
      </w:r>
    </w:p>
    <w:p w14:paraId="0FE236B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（12）沂蒙精神赋能临沂革命老区现代化强市建设的实践机制研究</w:t>
      </w:r>
    </w:p>
    <w:p w14:paraId="44309DD0">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（13）沂蒙精神红色研学研究</w:t>
      </w:r>
    </w:p>
    <w:p w14:paraId="395FC4EA">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（14）沂蒙精神与廉政作风建设研究</w:t>
      </w:r>
    </w:p>
    <w:p w14:paraId="1FA5DEC9">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（1</w:t>
      </w:r>
      <w:r>
        <w:rPr>
          <w:rFonts w:hint="eastAsia" w:ascii="Times New Roman" w:hAnsi="Times New Roman" w:cs="Times New Roman"/>
          <w:b w:val="0"/>
          <w:bCs w:val="0"/>
          <w:snapToGrid/>
          <w:color w:val="auto"/>
          <w:kern w:val="2"/>
          <w:sz w:val="32"/>
          <w:szCs w:val="32"/>
          <w:lang w:val="en-US" w:eastAsia="zh-CN" w:bidi="ar-SA"/>
        </w:rPr>
        <w:t>5</w:t>
      </w:r>
      <w:r>
        <w:rPr>
          <w:rFonts w:hint="default" w:ascii="Times New Roman" w:hAnsi="Times New Roman" w:cs="Times New Roman"/>
          <w:b w:val="0"/>
          <w:bCs w:val="0"/>
          <w:snapToGrid/>
          <w:color w:val="auto"/>
          <w:kern w:val="2"/>
          <w:sz w:val="32"/>
          <w:szCs w:val="32"/>
          <w:lang w:val="en-US" w:eastAsia="zh-CN" w:bidi="ar-SA"/>
        </w:rPr>
        <w:t>）临沂市</w:t>
      </w:r>
      <w:r>
        <w:rPr>
          <w:rFonts w:hint="eastAsia" w:ascii="Times New Roman" w:hAnsi="Times New Roman" w:cs="Times New Roman"/>
          <w:b w:val="0"/>
          <w:bCs w:val="0"/>
          <w:snapToGrid/>
          <w:color w:val="auto"/>
          <w:kern w:val="2"/>
          <w:sz w:val="32"/>
          <w:szCs w:val="32"/>
          <w:lang w:val="en-US" w:eastAsia="zh-CN" w:bidi="ar-SA"/>
        </w:rPr>
        <w:t>“</w:t>
      </w:r>
      <w:r>
        <w:rPr>
          <w:rFonts w:hint="default" w:ascii="Times New Roman" w:hAnsi="Times New Roman" w:cs="Times New Roman"/>
          <w:b w:val="0"/>
          <w:bCs w:val="0"/>
          <w:snapToGrid/>
          <w:color w:val="auto"/>
          <w:kern w:val="2"/>
          <w:sz w:val="32"/>
          <w:szCs w:val="32"/>
          <w:lang w:val="en-US" w:eastAsia="zh-CN" w:bidi="ar-SA"/>
        </w:rPr>
        <w:t>战例·战地·战将·战斗英雄</w:t>
      </w:r>
      <w:r>
        <w:rPr>
          <w:rFonts w:hint="eastAsia" w:ascii="Times New Roman" w:hAnsi="Times New Roman" w:cs="Times New Roman"/>
          <w:b w:val="0"/>
          <w:bCs w:val="0"/>
          <w:snapToGrid/>
          <w:color w:val="auto"/>
          <w:kern w:val="2"/>
          <w:sz w:val="32"/>
          <w:szCs w:val="32"/>
          <w:lang w:val="en-US" w:eastAsia="zh-CN" w:bidi="ar-SA"/>
        </w:rPr>
        <w:t>”</w:t>
      </w:r>
      <w:r>
        <w:rPr>
          <w:rFonts w:hint="default" w:ascii="Times New Roman" w:hAnsi="Times New Roman" w:cs="Times New Roman"/>
          <w:b w:val="0"/>
          <w:bCs w:val="0"/>
          <w:snapToGrid/>
          <w:color w:val="auto"/>
          <w:kern w:val="2"/>
          <w:sz w:val="32"/>
          <w:szCs w:val="32"/>
          <w:lang w:val="en-US" w:eastAsia="zh-CN" w:bidi="ar-SA"/>
        </w:rPr>
        <w:t>挖掘工程研究</w:t>
      </w:r>
    </w:p>
    <w:p w14:paraId="6ED17D85">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（16）临沂市各个历史时期践行沂蒙精神代表性人物和事件研究</w:t>
      </w:r>
    </w:p>
    <w:p w14:paraId="4E2B6B9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bCs/>
          <w:snapToGrid/>
          <w:color w:val="auto"/>
          <w:kern w:val="2"/>
          <w:sz w:val="32"/>
          <w:szCs w:val="32"/>
          <w:lang w:val="en-US" w:eastAsia="zh-CN" w:bidi="ar-SA"/>
        </w:rPr>
      </w:pPr>
      <w:r>
        <w:rPr>
          <w:rFonts w:hint="eastAsia" w:ascii="Times New Roman" w:hAnsi="Times New Roman" w:cs="Times New Roman"/>
          <w:b/>
          <w:bCs/>
          <w:snapToGrid/>
          <w:color w:val="auto"/>
          <w:kern w:val="2"/>
          <w:sz w:val="32"/>
          <w:szCs w:val="32"/>
          <w:lang w:val="en-US" w:eastAsia="zh-CN" w:bidi="ar-SA"/>
        </w:rPr>
        <w:t>2.文化遗产保护传承研究</w:t>
      </w:r>
    </w:p>
    <w:p w14:paraId="606226E3">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（1）临沂市地方特色文化标识研究（东夷文化、琅琊文化、沂蒙文化）（重点）</w:t>
      </w:r>
    </w:p>
    <w:p w14:paraId="270467F8">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（2）临沂市文化遗产精神内核研究（哲学思想、人文精神、价值理念、道德规范、艺术传统）</w:t>
      </w:r>
    </w:p>
    <w:p w14:paraId="4B7A03A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（3）临沂地区文化遗产保护传承在各历史时期发展脉络研究</w:t>
      </w:r>
    </w:p>
    <w:p w14:paraId="60B6DF1D">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（4）临沂市文化遗产中的廉洁文化研究</w:t>
      </w:r>
    </w:p>
    <w:p w14:paraId="63A5F56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（5）临沂市文化遗产保护应用研究</w:t>
      </w:r>
    </w:p>
    <w:p w14:paraId="56528568">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（6）临沂市古籍整理研究</w:t>
      </w:r>
    </w:p>
    <w:p w14:paraId="22D8A566">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（7）临沂历史上的琅琊王氏望族研究（重点）</w:t>
      </w:r>
    </w:p>
    <w:p w14:paraId="7375E8C8">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（8）临沂历史上的萧氏望族研究（重点）</w:t>
      </w:r>
    </w:p>
    <w:p w14:paraId="5D42466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（9）临沂历史上的颜氏望族研究（重点）</w:t>
      </w:r>
    </w:p>
    <w:p w14:paraId="1E38CC42">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（10）临沂历史上的诸葛氏望族研究（重点）</w:t>
      </w:r>
    </w:p>
    <w:p w14:paraId="6DA943ED">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（11）诸葛亮廉政思想涵养新时代“清廉临沂”建设研究（重点）</w:t>
      </w:r>
    </w:p>
    <w:p w14:paraId="674AA16B">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（12）诸葛亮治国理政思想与临沂市基层治理现代化融合路径研究</w:t>
      </w:r>
    </w:p>
    <w:p w14:paraId="0723A61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（13）关于三线军工文化与红色文旅在新时代的融合发展路径的研究</w:t>
      </w:r>
    </w:p>
    <w:p w14:paraId="1271C16C">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bCs/>
          <w:snapToGrid/>
          <w:color w:val="auto"/>
          <w:kern w:val="2"/>
          <w:sz w:val="32"/>
          <w:szCs w:val="32"/>
          <w:lang w:val="en-US" w:eastAsia="zh-CN" w:bidi="ar-SA"/>
        </w:rPr>
      </w:pPr>
      <w:r>
        <w:rPr>
          <w:rFonts w:hint="eastAsia" w:ascii="Times New Roman" w:hAnsi="Times New Roman" w:cs="Times New Roman"/>
          <w:b/>
          <w:bCs/>
          <w:snapToGrid/>
          <w:color w:val="auto"/>
          <w:kern w:val="2"/>
          <w:sz w:val="32"/>
          <w:szCs w:val="32"/>
          <w:lang w:val="en-US" w:eastAsia="zh-CN" w:bidi="ar-SA"/>
        </w:rPr>
        <w:t>3.荀子文化研究</w:t>
      </w:r>
    </w:p>
    <w:p w14:paraId="068619F7">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（1）荀子及其思想的历史地位研究</w:t>
      </w:r>
    </w:p>
    <w:p w14:paraId="4EDD6C9A">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（2）荀子思想与马克思主义理论的相通之处及其创造性转化问题研究</w:t>
      </w:r>
    </w:p>
    <w:p w14:paraId="31CDE863">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（3）荀子思想对当今治国理政实践的启示研究</w:t>
      </w:r>
    </w:p>
    <w:p w14:paraId="17AFB8C7">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（4）荀子</w:t>
      </w:r>
      <w:r>
        <w:rPr>
          <w:rFonts w:hint="eastAsia" w:ascii="Times New Roman" w:hAnsi="Times New Roman" w:cs="Times New Roman"/>
          <w:b w:val="0"/>
          <w:bCs w:val="0"/>
          <w:snapToGrid/>
          <w:color w:val="auto"/>
          <w:kern w:val="2"/>
          <w:sz w:val="32"/>
          <w:szCs w:val="32"/>
          <w:lang w:val="en-US" w:eastAsia="zh-CN" w:bidi="ar-SA"/>
        </w:rPr>
        <w:t>“</w:t>
      </w:r>
      <w:r>
        <w:rPr>
          <w:rFonts w:hint="default" w:ascii="Times New Roman" w:hAnsi="Times New Roman" w:cs="Times New Roman"/>
          <w:b w:val="0"/>
          <w:bCs w:val="0"/>
          <w:snapToGrid/>
          <w:color w:val="auto"/>
          <w:kern w:val="2"/>
          <w:sz w:val="32"/>
          <w:szCs w:val="32"/>
          <w:lang w:val="en-US" w:eastAsia="zh-CN" w:bidi="ar-SA"/>
        </w:rPr>
        <w:t>隆礼重法思想</w:t>
      </w:r>
      <w:r>
        <w:rPr>
          <w:rFonts w:hint="eastAsia" w:ascii="Times New Roman" w:hAnsi="Times New Roman" w:cs="Times New Roman"/>
          <w:b w:val="0"/>
          <w:bCs w:val="0"/>
          <w:snapToGrid/>
          <w:color w:val="auto"/>
          <w:kern w:val="2"/>
          <w:sz w:val="32"/>
          <w:szCs w:val="32"/>
          <w:lang w:val="en-US" w:eastAsia="zh-CN" w:bidi="ar-SA"/>
        </w:rPr>
        <w:t>”</w:t>
      </w:r>
      <w:r>
        <w:rPr>
          <w:rFonts w:hint="default" w:ascii="Times New Roman" w:hAnsi="Times New Roman" w:cs="Times New Roman"/>
          <w:b w:val="0"/>
          <w:bCs w:val="0"/>
          <w:snapToGrid/>
          <w:color w:val="auto"/>
          <w:kern w:val="2"/>
          <w:sz w:val="32"/>
          <w:szCs w:val="32"/>
          <w:lang w:val="en-US" w:eastAsia="zh-CN" w:bidi="ar-SA"/>
        </w:rPr>
        <w:t>对临沂法治建设的意义研究（重点）</w:t>
      </w:r>
    </w:p>
    <w:p w14:paraId="09782C66">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（5）荀子思想社区传播</w:t>
      </w:r>
      <w:r>
        <w:rPr>
          <w:rFonts w:hint="eastAsia" w:ascii="Times New Roman" w:hAnsi="Times New Roman" w:cs="Times New Roman"/>
          <w:b w:val="0"/>
          <w:bCs w:val="0"/>
          <w:snapToGrid/>
          <w:color w:val="auto"/>
          <w:kern w:val="2"/>
          <w:sz w:val="32"/>
          <w:szCs w:val="32"/>
          <w:lang w:val="en-US" w:eastAsia="zh-CN" w:bidi="ar-SA"/>
        </w:rPr>
        <w:t>研究</w:t>
      </w:r>
    </w:p>
    <w:p w14:paraId="178D1A1B">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w:t>
      </w:r>
      <w:r>
        <w:rPr>
          <w:rFonts w:hint="eastAsia" w:ascii="Times New Roman" w:hAnsi="Times New Roman" w:cs="Times New Roman"/>
          <w:b w:val="0"/>
          <w:bCs w:val="0"/>
          <w:snapToGrid/>
          <w:color w:val="auto"/>
          <w:kern w:val="2"/>
          <w:sz w:val="32"/>
          <w:szCs w:val="32"/>
          <w:lang w:val="en-US" w:eastAsia="zh-CN" w:bidi="ar-SA"/>
        </w:rPr>
        <w:t>6</w:t>
      </w:r>
      <w:r>
        <w:rPr>
          <w:rFonts w:hint="default" w:ascii="Times New Roman" w:hAnsi="Times New Roman" w:cs="Times New Roman"/>
          <w:b w:val="0"/>
          <w:bCs w:val="0"/>
          <w:snapToGrid/>
          <w:color w:val="auto"/>
          <w:kern w:val="2"/>
          <w:sz w:val="32"/>
          <w:szCs w:val="32"/>
          <w:lang w:val="en-US" w:eastAsia="zh-CN" w:bidi="ar-SA"/>
        </w:rPr>
        <w:t>）荀子思想与临沂商业文化建设研究</w:t>
      </w:r>
    </w:p>
    <w:p w14:paraId="1167963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w:t>
      </w:r>
      <w:r>
        <w:rPr>
          <w:rFonts w:hint="eastAsia" w:ascii="Times New Roman" w:hAnsi="Times New Roman" w:cs="Times New Roman"/>
          <w:b w:val="0"/>
          <w:bCs w:val="0"/>
          <w:snapToGrid/>
          <w:color w:val="auto"/>
          <w:kern w:val="2"/>
          <w:sz w:val="32"/>
          <w:szCs w:val="32"/>
          <w:lang w:val="en-US" w:eastAsia="zh-CN" w:bidi="ar-SA"/>
        </w:rPr>
        <w:t>7</w:t>
      </w:r>
      <w:r>
        <w:rPr>
          <w:rFonts w:hint="default" w:ascii="Times New Roman" w:hAnsi="Times New Roman" w:cs="Times New Roman"/>
          <w:b w:val="0"/>
          <w:bCs w:val="0"/>
          <w:snapToGrid/>
          <w:color w:val="auto"/>
          <w:kern w:val="2"/>
          <w:sz w:val="32"/>
          <w:szCs w:val="32"/>
          <w:lang w:val="en-US" w:eastAsia="zh-CN" w:bidi="ar-SA"/>
        </w:rPr>
        <w:t>）荀子思想与基层治</w:t>
      </w:r>
      <w:r>
        <w:rPr>
          <w:rFonts w:hint="eastAsia" w:ascii="Times New Roman" w:hAnsi="Times New Roman" w:cs="Times New Roman"/>
          <w:b w:val="0"/>
          <w:bCs w:val="0"/>
          <w:snapToGrid/>
          <w:color w:val="auto"/>
          <w:kern w:val="2"/>
          <w:sz w:val="32"/>
          <w:szCs w:val="32"/>
          <w:lang w:val="en-US" w:eastAsia="zh-CN" w:bidi="ar-SA"/>
        </w:rPr>
        <w:t>理研究</w:t>
      </w:r>
    </w:p>
    <w:p w14:paraId="6599352B">
      <w:pPr>
        <w:keepNext/>
        <w:keepLines/>
        <w:widowControl w:val="0"/>
        <w:bidi w:val="0"/>
        <w:spacing w:beforeLines="0" w:beforeAutospacing="0" w:afterLines="0" w:afterAutospacing="0" w:line="560" w:lineRule="exact"/>
        <w:ind w:firstLine="640" w:firstLineChars="200"/>
        <w:jc w:val="both"/>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（四）社会建设类</w:t>
      </w:r>
    </w:p>
    <w:p w14:paraId="19CAC446">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1.“四雁工程”引领临沂乡村连片振兴与城乡融合发展研究（重点）</w:t>
      </w:r>
    </w:p>
    <w:p w14:paraId="0BDB1619">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2.民生保障提质工程下临沂基本公共服务均等化提升研究（重点）</w:t>
      </w:r>
    </w:p>
    <w:p w14:paraId="6573347E">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3.统筹发展和安全导向下临沂重点领域风险防范化解机制研究（重点）</w:t>
      </w:r>
    </w:p>
    <w:p w14:paraId="77073A0B">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3.临沂市民生福祉提质的精准对策研究</w:t>
      </w:r>
    </w:p>
    <w:p w14:paraId="397ED9C9">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4.临沂市基层治理现代化对策研究</w:t>
      </w:r>
    </w:p>
    <w:p w14:paraId="35EC6EC7">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5.临沂市深化“五老”助青少年健康活动研究</w:t>
      </w:r>
    </w:p>
    <w:p w14:paraId="7C342CB6">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6.临沂市“五老”助力乡村振兴实践路径研究</w:t>
      </w:r>
    </w:p>
    <w:p w14:paraId="281AF34D">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7.临沂市农村和居家社区养老服务体系建设研究</w:t>
      </w:r>
    </w:p>
    <w:p w14:paraId="26C49781">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default" w:ascii="Times New Roman" w:hAnsi="Times New Roman" w:cs="Times New Roman"/>
          <w:b w:val="0"/>
          <w:bCs w:val="0"/>
          <w:snapToGrid/>
          <w:color w:val="auto"/>
          <w:kern w:val="2"/>
          <w:sz w:val="32"/>
          <w:szCs w:val="32"/>
          <w:lang w:val="en-US" w:eastAsia="zh-CN" w:bidi="ar-SA"/>
        </w:rPr>
        <w:t>8.临沂市加强“两化一中心”实战应用研究</w:t>
      </w:r>
    </w:p>
    <w:p w14:paraId="1E2D0603">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9.临沂市人才评价“企业认定、政府认账”机制实施路径研究</w:t>
      </w:r>
    </w:p>
    <w:p w14:paraId="2C2A9A49">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10.临沂市一体推进教育科技人才发展研究（重点）</w:t>
      </w:r>
    </w:p>
    <w:p w14:paraId="13E5483D">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11.临沂市探索建立校企、 院企高层次人才“共享双聘”机制研究</w:t>
      </w:r>
    </w:p>
    <w:p w14:paraId="4F4FB9C3">
      <w:pPr>
        <w:keepNext/>
        <w:keepLines/>
        <w:widowControl w:val="0"/>
        <w:bidi w:val="0"/>
        <w:spacing w:beforeLines="0" w:beforeAutospacing="0" w:afterLines="0" w:afterAutospacing="0" w:line="560" w:lineRule="exact"/>
        <w:ind w:firstLine="640" w:firstLineChars="200"/>
        <w:jc w:val="both"/>
        <w:outlineLvl w:val="2"/>
        <w:rPr>
          <w:rFonts w:hint="default"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（五）生态文明类</w:t>
      </w:r>
    </w:p>
    <w:p w14:paraId="39F690F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1.生态产品价值实现机制下“美丽临沂”建设路径研究</w:t>
      </w:r>
    </w:p>
    <w:p w14:paraId="42EEF0D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2.临沂市绿色低碳转型与生态保护对策研究（重点）</w:t>
      </w:r>
    </w:p>
    <w:p w14:paraId="0D897A37">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3.以水定城、以水促兴：服务区域重大战略的临沂市节水型社会建设规划研究</w:t>
      </w:r>
    </w:p>
    <w:p w14:paraId="779B4321">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4.两网融合背景下临沂市垃圾分类设施建设研究</w:t>
      </w:r>
    </w:p>
    <w:p w14:paraId="49D521E4">
      <w:pPr>
        <w:pStyle w:val="6"/>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5.基于“双碳”目标的临沂绿色公路经济价值挖掘与生态效益协同提升机制研究</w:t>
      </w:r>
    </w:p>
    <w:p w14:paraId="685B474F">
      <w:pPr>
        <w:pStyle w:val="6"/>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b w:val="0"/>
          <w:bCs w:val="0"/>
          <w:snapToGrid/>
          <w:color w:val="auto"/>
          <w:kern w:val="2"/>
          <w:sz w:val="32"/>
          <w:szCs w:val="32"/>
          <w:lang w:val="en-US" w:eastAsia="zh-CN" w:bidi="ar-SA"/>
        </w:rPr>
      </w:pPr>
      <w:r>
        <w:rPr>
          <w:rFonts w:hint="eastAsia" w:ascii="Times New Roman" w:hAnsi="Times New Roman" w:cs="Times New Roman"/>
          <w:b w:val="0"/>
          <w:bCs w:val="0"/>
          <w:snapToGrid/>
          <w:color w:val="auto"/>
          <w:kern w:val="2"/>
          <w:sz w:val="32"/>
          <w:szCs w:val="32"/>
          <w:lang w:val="en-US" w:eastAsia="zh-CN" w:bidi="ar-SA"/>
        </w:rPr>
        <w:t>6.临沂市深度治理工业源、移动源、扬尘源污染路径方法研究</w:t>
      </w:r>
    </w:p>
    <w:p w14:paraId="2E2D421C">
      <w:pPr>
        <w:keepNext/>
        <w:keepLines/>
        <w:widowControl w:val="0"/>
        <w:bidi w:val="0"/>
        <w:spacing w:beforeLines="0" w:beforeAutospacing="0" w:afterLines="0" w:afterAutospacing="0" w:line="560" w:lineRule="exact"/>
        <w:ind w:firstLine="640" w:firstLineChars="200"/>
        <w:jc w:val="left"/>
        <w:outlineLvl w:val="1"/>
        <w:rPr>
          <w:rFonts w:hint="default" w:ascii="Times New Roman" w:hAnsi="Times New Roman" w:eastAsia="黑体" w:cs="Arial"/>
          <w:snapToGrid w:val="0"/>
          <w:color w:val="000000"/>
          <w:kern w:val="0"/>
          <w:sz w:val="32"/>
          <w:szCs w:val="21"/>
          <w:lang w:val="en-US" w:eastAsia="zh-CN" w:bidi="ar-SA"/>
        </w:rPr>
      </w:pPr>
      <w:r>
        <w:rPr>
          <w:rFonts w:hint="eastAsia" w:ascii="Times New Roman" w:hAnsi="Times New Roman" w:eastAsia="黑体" w:cs="Arial"/>
          <w:snapToGrid w:val="0"/>
          <w:color w:val="000000"/>
          <w:kern w:val="0"/>
          <w:sz w:val="32"/>
          <w:szCs w:val="21"/>
          <w:lang w:val="en-US" w:eastAsia="zh-CN" w:bidi="ar-SA"/>
        </w:rPr>
        <w:t>二</w:t>
      </w:r>
      <w:r>
        <w:rPr>
          <w:rFonts w:hint="default" w:ascii="Times New Roman" w:hAnsi="Times New Roman" w:eastAsia="黑体" w:cs="Arial"/>
          <w:snapToGrid w:val="0"/>
          <w:color w:val="000000"/>
          <w:kern w:val="0"/>
          <w:sz w:val="32"/>
          <w:szCs w:val="21"/>
          <w:lang w:val="en-US" w:eastAsia="zh-CN" w:bidi="ar-SA"/>
        </w:rPr>
        <w:t>、</w:t>
      </w:r>
      <w:r>
        <w:rPr>
          <w:rFonts w:hint="eastAsia" w:ascii="Times New Roman" w:hAnsi="Times New Roman" w:eastAsia="黑体" w:cs="Arial"/>
          <w:snapToGrid w:val="0"/>
          <w:color w:val="000000"/>
          <w:kern w:val="0"/>
          <w:sz w:val="32"/>
          <w:szCs w:val="21"/>
          <w:lang w:val="en-US" w:eastAsia="zh-CN" w:bidi="ar-SA"/>
        </w:rPr>
        <w:t>“</w:t>
      </w:r>
      <w:r>
        <w:rPr>
          <w:rFonts w:hint="default" w:ascii="Times New Roman" w:hAnsi="Times New Roman" w:eastAsia="黑体" w:cs="Arial"/>
          <w:snapToGrid w:val="0"/>
          <w:color w:val="000000"/>
          <w:kern w:val="0"/>
          <w:sz w:val="32"/>
          <w:szCs w:val="21"/>
          <w:lang w:val="en-US" w:eastAsia="zh-CN" w:bidi="ar-SA"/>
        </w:rPr>
        <w:t>资政临沂</w:t>
      </w:r>
      <w:r>
        <w:rPr>
          <w:rFonts w:hint="eastAsia" w:ascii="Times New Roman" w:hAnsi="Times New Roman" w:eastAsia="黑体" w:cs="Arial"/>
          <w:snapToGrid w:val="0"/>
          <w:color w:val="000000"/>
          <w:kern w:val="0"/>
          <w:sz w:val="32"/>
          <w:szCs w:val="21"/>
          <w:lang w:val="en-US" w:eastAsia="zh-CN" w:bidi="ar-SA"/>
        </w:rPr>
        <w:t>”</w:t>
      </w:r>
      <w:r>
        <w:rPr>
          <w:rFonts w:hint="default" w:ascii="Times New Roman" w:hAnsi="Times New Roman" w:eastAsia="黑体" w:cs="Arial"/>
          <w:snapToGrid w:val="0"/>
          <w:color w:val="000000"/>
          <w:kern w:val="0"/>
          <w:sz w:val="32"/>
          <w:szCs w:val="21"/>
          <w:lang w:val="en-US" w:eastAsia="zh-CN" w:bidi="ar-SA"/>
        </w:rPr>
        <w:t>品牌委托课题</w:t>
      </w:r>
    </w:p>
    <w:p w14:paraId="4C5BB63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 市委</w:t>
      </w:r>
      <w:r>
        <w:rPr>
          <w:rFonts w:hint="eastAsia" w:ascii="Times New Roman" w:hAnsi="Times New Roman" w:eastAsia="楷体_GB2312" w:cs="Times New Roman"/>
          <w:b w:val="0"/>
          <w:bCs/>
          <w:i w:val="0"/>
          <w:color w:val="auto"/>
          <w:kern w:val="2"/>
          <w:sz w:val="32"/>
          <w:szCs w:val="32"/>
          <w:lang w:val="en-US" w:eastAsia="zh-CN" w:bidi="ar-SA"/>
        </w:rPr>
        <w:t>宣传</w:t>
      </w:r>
      <w:r>
        <w:rPr>
          <w:rFonts w:hint="default" w:ascii="Times New Roman" w:hAnsi="Times New Roman" w:eastAsia="楷体_GB2312" w:cs="Times New Roman"/>
          <w:b w:val="0"/>
          <w:bCs/>
          <w:i w:val="0"/>
          <w:color w:val="auto"/>
          <w:kern w:val="2"/>
          <w:sz w:val="32"/>
          <w:szCs w:val="32"/>
          <w:lang w:val="en-US" w:eastAsia="zh-CN" w:bidi="ar-SA"/>
        </w:rPr>
        <w:t>部委托课题</w:t>
      </w:r>
    </w:p>
    <w:p w14:paraId="22B2957B">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“人工智能+”</w:t>
      </w:r>
      <w:r>
        <w:rPr>
          <w:rFonts w:hint="default" w:ascii="Times New Roman" w:hAnsi="Times New Roman" w:eastAsia="仿宋_GB2312" w:cs="Times New Roman"/>
          <w:b/>
          <w:color w:val="auto"/>
          <w:kern w:val="2"/>
          <w:sz w:val="32"/>
          <w:szCs w:val="32"/>
          <w:lang w:val="en-US" w:eastAsia="zh-CN" w:bidi="ar-SA"/>
        </w:rPr>
        <w:t>赋能宣传干部数字素养提升的成本效益优化路径研究</w:t>
      </w:r>
    </w:p>
    <w:p w14:paraId="0F1BBA85">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成果要求：形成一篇5000字左右的课题研究报告，结构完整、逻辑严谨，突出核心结论和政策建议。</w:t>
      </w:r>
    </w:p>
    <w:p w14:paraId="20A4DA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w:t>
      </w:r>
      <w:r>
        <w:rPr>
          <w:rFonts w:hint="eastAsia" w:ascii="Times New Roman" w:hAnsi="Times New Roman" w:cs="Times New Roman"/>
          <w:color w:val="auto"/>
          <w:kern w:val="2"/>
          <w:sz w:val="32"/>
          <w:szCs w:val="32"/>
          <w:lang w:val="en-US" w:eastAsia="zh-CN" w:bidi="ar-SA"/>
        </w:rPr>
        <w:t>30</w:t>
      </w:r>
      <w:r>
        <w:rPr>
          <w:rFonts w:hint="default" w:ascii="Times New Roman" w:hAnsi="Times New Roman" w:eastAsia="仿宋_GB2312" w:cs="Times New Roman"/>
          <w:color w:val="auto"/>
          <w:kern w:val="2"/>
          <w:sz w:val="32"/>
          <w:szCs w:val="32"/>
          <w:lang w:val="en-US" w:eastAsia="zh-CN" w:bidi="ar-SA"/>
        </w:rPr>
        <w:t>日</w:t>
      </w:r>
    </w:p>
    <w:p w14:paraId="31BAFAE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w:t>
      </w:r>
      <w:r>
        <w:rPr>
          <w:rFonts w:hint="default" w:ascii="Times New Roman" w:hAnsi="Times New Roman" w:eastAsia="楷体_GB2312" w:cs="Times New Roman"/>
          <w:b w:val="0"/>
          <w:bCs/>
          <w:i w:val="0"/>
          <w:color w:val="auto"/>
          <w:kern w:val="2"/>
          <w:sz w:val="32"/>
          <w:szCs w:val="32"/>
          <w:lang w:val="en-US" w:eastAsia="zh-CN" w:bidi="ar-SA"/>
        </w:rPr>
        <w:t>. 市委统战部委托课题</w:t>
      </w:r>
    </w:p>
    <w:p w14:paraId="1E2A16F9">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题目：关于统一战线发展壮大对推进中华民族共同体建设影响的研究</w:t>
      </w:r>
    </w:p>
    <w:p w14:paraId="49AD3ADD">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以调查研究报告形式开展，包括但不仅限于理论阐发、问题剖析、经验提炼、对策建议等；内容突出时代性、前瞻性，立足当下、着眼长远，坚持问题导向，着重研究制约统一战线事业发展的重点难点问题。对策建议聚焦要准，切口要具体，切忌</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大而全</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w:t>
      </w:r>
    </w:p>
    <w:p w14:paraId="295DABC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月</w:t>
      </w:r>
      <w:r>
        <w:rPr>
          <w:rFonts w:hint="eastAsia" w:ascii="Times New Roman" w:hAnsi="Times New Roman" w:cs="Times New Roman"/>
          <w:color w:val="auto"/>
          <w:kern w:val="2"/>
          <w:sz w:val="32"/>
          <w:szCs w:val="32"/>
          <w:lang w:val="en-US" w:eastAsia="zh-CN" w:bidi="ar-SA"/>
        </w:rPr>
        <w:t>30</w:t>
      </w:r>
      <w:r>
        <w:rPr>
          <w:rFonts w:hint="default" w:ascii="Times New Roman" w:hAnsi="Times New Roman" w:eastAsia="仿宋_GB2312" w:cs="Times New Roman"/>
          <w:color w:val="auto"/>
          <w:kern w:val="2"/>
          <w:sz w:val="32"/>
          <w:szCs w:val="32"/>
          <w:lang w:val="en-US" w:eastAsia="zh-CN" w:bidi="ar-SA"/>
        </w:rPr>
        <w:t>日</w:t>
      </w:r>
    </w:p>
    <w:p w14:paraId="37497BE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3</w:t>
      </w:r>
      <w:r>
        <w:rPr>
          <w:rFonts w:hint="default" w:ascii="Times New Roman" w:hAnsi="Times New Roman" w:eastAsia="楷体_GB2312" w:cs="Times New Roman"/>
          <w:b w:val="0"/>
          <w:bCs/>
          <w:i w:val="0"/>
          <w:color w:val="auto"/>
          <w:kern w:val="2"/>
          <w:sz w:val="32"/>
          <w:szCs w:val="32"/>
          <w:lang w:val="en-US" w:eastAsia="zh-CN" w:bidi="ar-SA"/>
        </w:rPr>
        <w:t>. 市委社工部委托课题</w:t>
      </w:r>
    </w:p>
    <w:p w14:paraId="7D988D88">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题目：新时代人民建议征集实践研究</w:t>
      </w:r>
    </w:p>
    <w:p w14:paraId="678F0000">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①课题研究成果可以为调研报告、论文等形式。②立足我市实际，重点围绕完善建议征集督办机制、推进建议成果转化落地、创新工作融合模式等方面展开。③研究方向可以是综合性研究，也可以基于某个侧重点深入开展。④课题研究成果要具备可操作性、创新性、前瞻性，涉及数据、事例要准确。</w:t>
      </w:r>
    </w:p>
    <w:p w14:paraId="731858F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2026年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cs="Times New Roman"/>
          <w:color w:val="auto"/>
          <w:kern w:val="2"/>
          <w:sz w:val="32"/>
          <w:szCs w:val="32"/>
          <w:lang w:val="en-US" w:eastAsia="zh-CN" w:bidi="ar-SA"/>
        </w:rPr>
        <w:t>月30日</w:t>
      </w:r>
    </w:p>
    <w:p w14:paraId="0C8B7A5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4</w:t>
      </w:r>
      <w:r>
        <w:rPr>
          <w:rFonts w:hint="default" w:ascii="Times New Roman" w:hAnsi="Times New Roman" w:eastAsia="楷体_GB2312" w:cs="Times New Roman"/>
          <w:b w:val="0"/>
          <w:bCs/>
          <w:i w:val="0"/>
          <w:color w:val="auto"/>
          <w:kern w:val="2"/>
          <w:sz w:val="32"/>
          <w:szCs w:val="32"/>
          <w:lang w:val="en-US" w:eastAsia="zh-CN" w:bidi="ar-SA"/>
        </w:rPr>
        <w:t>. 临沂市国家保密局委托课题</w:t>
      </w:r>
    </w:p>
    <w:p w14:paraId="33F82AE7">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b w:val="0"/>
          <w:bCs/>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题目：保密宣传教育分众化精准化实施路径研究</w:t>
      </w:r>
    </w:p>
    <w:p w14:paraId="41B6DC9A">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成果要求：成果形式为论文、研究报告或国家保密局期刊文章。</w:t>
      </w:r>
    </w:p>
    <w:p w14:paraId="64357A3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时限：2026年9月30日</w:t>
      </w:r>
    </w:p>
    <w:p w14:paraId="2A4FF3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5</w:t>
      </w:r>
      <w:r>
        <w:rPr>
          <w:rFonts w:hint="default" w:ascii="Times New Roman" w:hAnsi="Times New Roman" w:eastAsia="楷体_GB2312" w:cs="Times New Roman"/>
          <w:b w:val="0"/>
          <w:bCs/>
          <w:i w:val="0"/>
          <w:color w:val="auto"/>
          <w:kern w:val="2"/>
          <w:sz w:val="32"/>
          <w:szCs w:val="32"/>
          <w:lang w:val="en-US" w:eastAsia="zh-CN" w:bidi="ar-SA"/>
        </w:rPr>
        <w:t>. 市文联委托课题</w:t>
      </w:r>
    </w:p>
    <w:p w14:paraId="00FAA526">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题目：临沂文艺与旅游深度融合对接点综合研究</w:t>
      </w:r>
    </w:p>
    <w:p w14:paraId="0688F087">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①梳理总结临沂近些年来文旅融合的经验做法；②紧密结合临沂实际，深入分析文艺和旅游相融合方面存在的问题和不足、文艺赋能旅游工作的优势和特色；③从实践层面就文艺和旅游深度融合、有效发挥领航赋能作用进行可行性研究，提出具体措施和方法路径。</w:t>
      </w:r>
    </w:p>
    <w:p w14:paraId="756AFF2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w:t>
      </w:r>
      <w:r>
        <w:rPr>
          <w:rFonts w:hint="eastAsia" w:ascii="Times New Roman" w:hAnsi="Times New Roman" w:cs="Times New Roman"/>
          <w:color w:val="auto"/>
          <w:kern w:val="2"/>
          <w:sz w:val="32"/>
          <w:szCs w:val="32"/>
          <w:lang w:val="en-US" w:eastAsia="zh-CN" w:bidi="ar-SA"/>
        </w:rPr>
        <w:t>26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w:t>
      </w:r>
      <w:r>
        <w:rPr>
          <w:rFonts w:hint="eastAsia" w:ascii="Times New Roman" w:hAnsi="Times New Roman" w:cs="Times New Roman"/>
          <w:color w:val="auto"/>
          <w:kern w:val="2"/>
          <w:sz w:val="32"/>
          <w:szCs w:val="32"/>
          <w:lang w:val="en-US" w:eastAsia="zh-CN" w:bidi="ar-SA"/>
        </w:rPr>
        <w:t>15</w:t>
      </w:r>
      <w:r>
        <w:rPr>
          <w:rFonts w:hint="default" w:ascii="Times New Roman" w:hAnsi="Times New Roman" w:eastAsia="仿宋_GB2312" w:cs="Times New Roman"/>
          <w:color w:val="auto"/>
          <w:kern w:val="2"/>
          <w:sz w:val="32"/>
          <w:szCs w:val="32"/>
          <w:lang w:val="en-US" w:eastAsia="zh-CN" w:bidi="ar-SA"/>
        </w:rPr>
        <w:t>日</w:t>
      </w:r>
    </w:p>
    <w:p w14:paraId="032E9A2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6.</w:t>
      </w:r>
      <w:r>
        <w:rPr>
          <w:rFonts w:hint="default" w:ascii="Times New Roman" w:hAnsi="Times New Roman" w:eastAsia="楷体_GB2312" w:cs="Times New Roman"/>
          <w:b w:val="0"/>
          <w:bCs/>
          <w:i w:val="0"/>
          <w:color w:val="auto"/>
          <w:kern w:val="2"/>
          <w:sz w:val="32"/>
          <w:szCs w:val="32"/>
          <w:lang w:val="en-US" w:eastAsia="zh-CN" w:bidi="ar-SA"/>
        </w:rPr>
        <w:t xml:space="preserve"> 民革临沂市委会委托课题</w:t>
      </w:r>
    </w:p>
    <w:p w14:paraId="51202574">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①临沂市新能源产业发展现状、问题及高质量发展对策研究；②临沂市低效用地再开发深化路径及对策研究</w:t>
      </w:r>
    </w:p>
    <w:p w14:paraId="084EB2A5">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为研究报告形式，包括但不限于现状表述、问题剖析、典型经验、意见建议等；结合临沂实际，分析现状、剖析问题、总结典型经验、提出建议，数据实时准确，案例详实凝练，理论与实践相结合，切忌面面俱到、泛泛而谈；报告为原创且未通过其他渠道报送或公开发表过，字数不少于6000字。</w:t>
      </w:r>
    </w:p>
    <w:p w14:paraId="18BBC1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eastAsia" w:ascii="Times New Roman" w:hAnsi="Times New Roman" w:cs="Times New Roman"/>
          <w:color w:val="auto"/>
          <w:kern w:val="2"/>
          <w:sz w:val="32"/>
          <w:szCs w:val="32"/>
          <w:lang w:val="en-US" w:eastAsia="zh-CN" w:bidi="ar-SA"/>
        </w:rPr>
        <w:t>课题1：</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4D53D95E">
      <w:pPr>
        <w:pStyle w:val="6"/>
        <w:rPr>
          <w:rFonts w:hint="default"/>
          <w:lang w:val="en-US" w:eastAsia="zh-CN"/>
        </w:rPr>
      </w:pPr>
      <w:r>
        <w:rPr>
          <w:rFonts w:hint="eastAsia" w:ascii="Times New Roman" w:hAnsi="Times New Roman" w:cs="Times New Roman"/>
          <w:color w:val="auto"/>
          <w:kern w:val="2"/>
          <w:sz w:val="32"/>
          <w:szCs w:val="32"/>
          <w:lang w:val="en-US" w:eastAsia="zh-CN" w:bidi="ar-SA"/>
        </w:rPr>
        <w:t xml:space="preserve">      课题2：2026年8月30日</w:t>
      </w:r>
    </w:p>
    <w:p w14:paraId="2E97FA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7</w:t>
      </w:r>
      <w:r>
        <w:rPr>
          <w:rFonts w:hint="default" w:ascii="Times New Roman" w:hAnsi="Times New Roman" w:eastAsia="楷体_GB2312" w:cs="Times New Roman"/>
          <w:b w:val="0"/>
          <w:bCs/>
          <w:i w:val="0"/>
          <w:color w:val="auto"/>
          <w:kern w:val="2"/>
          <w:sz w:val="32"/>
          <w:szCs w:val="32"/>
          <w:lang w:val="en-US" w:eastAsia="zh-CN" w:bidi="ar-SA"/>
        </w:rPr>
        <w:t>. 中国民主同盟临沂市委员会委托课题</w:t>
      </w:r>
    </w:p>
    <w:p w14:paraId="2EB9F5C5">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①探索林业存量资产盘活机制；②探索驻临高校及职业院校产教融合分类评估机制</w:t>
      </w:r>
    </w:p>
    <w:p w14:paraId="27EE6D89">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为研究报告形式，包括但不限于现状表述、问题剖析、典型经验、意见建议等；结合临沂实际，分析现状、剖析问题、总结典型经验、提出建议，数据实时准确，案例详实凝练，理论与实践相结合，切忌面面俱到、泛泛而谈；报告为原创且未通过其他渠道报送或公开发表过，字数不少于6000字。</w:t>
      </w:r>
    </w:p>
    <w:p w14:paraId="569038A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7</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379F10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8</w:t>
      </w:r>
      <w:r>
        <w:rPr>
          <w:rFonts w:hint="default" w:ascii="Times New Roman" w:hAnsi="Times New Roman" w:eastAsia="楷体_GB2312" w:cs="Times New Roman"/>
          <w:b w:val="0"/>
          <w:bCs/>
          <w:i w:val="0"/>
          <w:color w:val="auto"/>
          <w:kern w:val="2"/>
          <w:sz w:val="32"/>
          <w:szCs w:val="32"/>
          <w:lang w:val="en-US" w:eastAsia="zh-CN" w:bidi="ar-SA"/>
        </w:rPr>
        <w:t>. 致公党临沂市总支部委托课题</w:t>
      </w:r>
    </w:p>
    <w:p w14:paraId="1FE0C12A">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①健康临沂视域下我市体医融合模式的内容构建与途径探索；②环境检测服务市场规范化与高质量发展研究</w:t>
      </w:r>
    </w:p>
    <w:p w14:paraId="3DC55497">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w:t>
      </w:r>
      <w:r>
        <w:rPr>
          <w:rFonts w:hint="eastAsia" w:ascii="Times New Roman" w:hAnsi="Times New Roman" w:cs="Times New Roman"/>
          <w:b/>
          <w:bCs/>
          <w:color w:val="auto"/>
          <w:kern w:val="2"/>
          <w:sz w:val="32"/>
          <w:szCs w:val="32"/>
          <w:lang w:val="en-US" w:eastAsia="zh-CN" w:bidi="ar-SA"/>
        </w:rPr>
        <w:t>课题1：</w:t>
      </w:r>
      <w:r>
        <w:rPr>
          <w:rFonts w:hint="eastAsia" w:ascii="Times New Roman" w:hAnsi="Times New Roman" w:cs="Times New Roman"/>
          <w:color w:val="auto"/>
          <w:kern w:val="2"/>
          <w:sz w:val="32"/>
          <w:szCs w:val="32"/>
          <w:lang w:val="en-US" w:eastAsia="zh-CN" w:bidi="ar-SA"/>
        </w:rPr>
        <w:t>在调研报告基础上，形成《临沂市体医融合发展实施方案（初稿）》，推动实施“机制协同化+载体实体化+服务精准化”临沂体医融合模式，为领导决策提供参考支撑。</w:t>
      </w:r>
      <w:r>
        <w:rPr>
          <w:rFonts w:hint="eastAsia" w:ascii="Times New Roman" w:hAnsi="Times New Roman" w:cs="Times New Roman"/>
          <w:b/>
          <w:bCs/>
          <w:color w:val="auto"/>
          <w:kern w:val="2"/>
          <w:sz w:val="32"/>
          <w:szCs w:val="32"/>
          <w:lang w:val="en-US" w:eastAsia="zh-CN" w:bidi="ar-SA"/>
        </w:rPr>
        <w:t>课题2：</w:t>
      </w:r>
      <w:r>
        <w:rPr>
          <w:rFonts w:hint="eastAsia" w:ascii="Times New Roman" w:hAnsi="Times New Roman" w:cs="Times New Roman"/>
          <w:color w:val="auto"/>
          <w:kern w:val="2"/>
          <w:sz w:val="32"/>
          <w:szCs w:val="32"/>
          <w:lang w:val="en-US" w:eastAsia="zh-CN" w:bidi="ar-SA"/>
        </w:rPr>
        <w:t>聚焦环境监测服务市场规范化与高质量发展，须评估新条例下市场现状，剖析主要问题，提出制度优化建议。研究成果需形成具备实践指导意义的决策咨询报告。</w:t>
      </w:r>
    </w:p>
    <w:p w14:paraId="73BAF5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2FE5C1D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9</w:t>
      </w:r>
      <w:r>
        <w:rPr>
          <w:rFonts w:hint="default" w:ascii="Times New Roman" w:hAnsi="Times New Roman" w:eastAsia="楷体_GB2312" w:cs="Times New Roman"/>
          <w:b w:val="0"/>
          <w:bCs/>
          <w:i w:val="0"/>
          <w:color w:val="auto"/>
          <w:kern w:val="2"/>
          <w:sz w:val="32"/>
          <w:szCs w:val="32"/>
          <w:lang w:val="en-US" w:eastAsia="zh-CN" w:bidi="ar-SA"/>
        </w:rPr>
        <w:t>. 九三学社临沂市委员会委托课题</w:t>
      </w:r>
    </w:p>
    <w:p w14:paraId="22A11F91">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①我市加快锻造农业科技领军梯队的瓶颈破解与精准施策研究；②我市完善数据赋能信用贷款投放机制路径探究</w:t>
      </w:r>
    </w:p>
    <w:p w14:paraId="7D974281">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为研究报告形式，包括但不限于现状表述、问题剖析、典型经验、意见建议等；结合临沂实际，分析现状、剖析问题、总结典型经验、提出建议，数据实时准确，案例详实凝练，理论与实践相结合，切忌面面俱到、泛泛而谈；报告为原创且未通过其他渠道报送或公开发表过，字数不少于6000字。</w:t>
      </w:r>
    </w:p>
    <w:p w14:paraId="08DE24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7</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03C699A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10</w:t>
      </w:r>
      <w:r>
        <w:rPr>
          <w:rFonts w:hint="default" w:ascii="Times New Roman" w:hAnsi="Times New Roman" w:eastAsia="楷体_GB2312" w:cs="Times New Roman"/>
          <w:b w:val="0"/>
          <w:bCs/>
          <w:i w:val="0"/>
          <w:color w:val="auto"/>
          <w:kern w:val="2"/>
          <w:sz w:val="32"/>
          <w:szCs w:val="32"/>
          <w:lang w:val="en-US" w:eastAsia="zh-CN" w:bidi="ar-SA"/>
        </w:rPr>
        <w:t>. 市中级人民法院委托课题</w:t>
      </w:r>
    </w:p>
    <w:p w14:paraId="53518B79">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题目：行政复议与行政诉讼衔接问题研究</w:t>
      </w:r>
    </w:p>
    <w:p w14:paraId="67D19666">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课题成果将用于解决全市法院行政诉讼审理中涉及行政复议与行政诉讼衔接问题，研究人员可以围绕当前全市行政复议与行政诉讼衔接存在的主要问题，系统提出解决方案。务求发现真问题、提出切实可行的解决方案。</w:t>
      </w:r>
    </w:p>
    <w:p w14:paraId="2C0D1C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年8月3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7D2B01C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11</w:t>
      </w:r>
      <w:r>
        <w:rPr>
          <w:rFonts w:hint="default" w:ascii="Times New Roman" w:hAnsi="Times New Roman" w:eastAsia="楷体_GB2312" w:cs="Times New Roman"/>
          <w:b w:val="0"/>
          <w:bCs/>
          <w:i w:val="0"/>
          <w:color w:val="auto"/>
          <w:kern w:val="2"/>
          <w:sz w:val="32"/>
          <w:szCs w:val="32"/>
          <w:lang w:val="en-US" w:eastAsia="zh-CN" w:bidi="ar-SA"/>
        </w:rPr>
        <w:t>. 临沂市交通运输局委托课题</w:t>
      </w:r>
    </w:p>
    <w:p w14:paraId="534B60D4">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“智慧执法”推动交通运输执法精准协同提质增效</w:t>
      </w:r>
    </w:p>
    <w:p w14:paraId="35C30410">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课题研究成果可以为论文、报告或专著等形式，主要包括该课题研究的目的和意义；研究成果的主要内容、重要观点或对策建议；成果的学术价值、应用价值，以及社会影响等内容。研究内容要结合我市实际，在创新执法手段上大胆探索、有可行化的策略和措施，包括但不限于理论阐发、经验提炼、问题分析、对策建议等。</w:t>
      </w:r>
    </w:p>
    <w:p w14:paraId="4A5C523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534632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12</w:t>
      </w:r>
      <w:r>
        <w:rPr>
          <w:rFonts w:hint="default" w:ascii="Times New Roman" w:hAnsi="Times New Roman" w:eastAsia="楷体_GB2312" w:cs="Times New Roman"/>
          <w:b w:val="0"/>
          <w:bCs/>
          <w:i w:val="0"/>
          <w:color w:val="auto"/>
          <w:kern w:val="2"/>
          <w:sz w:val="32"/>
          <w:szCs w:val="32"/>
          <w:lang w:val="en-US" w:eastAsia="zh-CN" w:bidi="ar-SA"/>
        </w:rPr>
        <w:t>. 市文旅局委托课题</w:t>
      </w:r>
    </w:p>
    <w:p w14:paraId="12227D72">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①基于文献资源整理的荀子文化及其活化利用研究；②临沂市红色旅游融合发展区建设成效与深化路径研究</w:t>
      </w:r>
    </w:p>
    <w:p w14:paraId="2B399A72">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Times New Roman" w:hAnsi="Times New Roman"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w:t>
      </w:r>
      <w:r>
        <w:rPr>
          <w:rFonts w:hint="eastAsia" w:ascii="Times New Roman" w:hAnsi="Times New Roman" w:cs="Times New Roman"/>
          <w:b/>
          <w:bCs/>
          <w:color w:val="auto"/>
          <w:kern w:val="2"/>
          <w:sz w:val="32"/>
          <w:szCs w:val="32"/>
          <w:lang w:val="en-US" w:eastAsia="zh-CN" w:bidi="ar-SA"/>
        </w:rPr>
        <w:t>课题1：</w:t>
      </w:r>
      <w:r>
        <w:rPr>
          <w:rFonts w:hint="eastAsia" w:ascii="Times New Roman" w:hAnsi="Times New Roman" w:cs="Times New Roman"/>
          <w:color w:val="auto"/>
          <w:kern w:val="2"/>
          <w:sz w:val="32"/>
          <w:szCs w:val="32"/>
          <w:lang w:val="en-US" w:eastAsia="zh-CN" w:bidi="ar-SA"/>
        </w:rPr>
        <w:t>①课题研究成果可以为论文、报告或专著等形式。②课题应全面搜集、鉴别与荀子及其文化相关的地方性一手资料与特色资源，最终形成《荀子文化地方文献目录》，确保资料可查、可用。③课题应紧密围绕“传承保护”与“活化利用”两大主线展开，重点对荀子思想的核心精髓与文化价值进行深度挖掘与当代解读，设计可落地、体验强的研学实践方案，推动荀子文化走进青少年教育与公众体验。</w:t>
      </w:r>
      <w:r>
        <w:rPr>
          <w:rFonts w:hint="eastAsia" w:ascii="Times New Roman" w:hAnsi="Times New Roman" w:cs="Times New Roman"/>
          <w:b/>
          <w:bCs/>
          <w:color w:val="auto"/>
          <w:kern w:val="2"/>
          <w:sz w:val="32"/>
          <w:szCs w:val="32"/>
          <w:lang w:val="en-US" w:eastAsia="zh-CN" w:bidi="ar-SA"/>
        </w:rPr>
        <w:t>课题2：</w:t>
      </w:r>
      <w:r>
        <w:rPr>
          <w:rFonts w:hint="eastAsia" w:ascii="Times New Roman" w:hAnsi="Times New Roman" w:cs="Times New Roman"/>
          <w:color w:val="auto"/>
          <w:kern w:val="2"/>
          <w:sz w:val="32"/>
          <w:szCs w:val="32"/>
          <w:lang w:val="en-US" w:eastAsia="zh-CN" w:bidi="ar-SA"/>
        </w:rPr>
        <w:t>本课题研究成果紧密对接临沂文旅高质量发展需求，聚焦以下方向：一是提供决策支撑，为红色旅游融合发展区优化设计提供可落地路径，助推区域升级；二是引导行业发展，为相关企业提供业态融合实操参考，促进红色旅游与乡村、生态、研学等深度联动；三是推动成果转化，形成可在全省乃至全国革命老区复制推广的红色旅游发展经验；四是助力品牌提升，为“好客山东 亲情沂蒙”品牌注入内容，扩大临沂红色旅游全国影响力。</w:t>
      </w:r>
    </w:p>
    <w:p w14:paraId="43FDCA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3809148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w:t>
      </w:r>
      <w:r>
        <w:rPr>
          <w:rFonts w:hint="eastAsia" w:ascii="Times New Roman" w:hAnsi="Times New Roman" w:eastAsia="楷体_GB2312" w:cs="Times New Roman"/>
          <w:b w:val="0"/>
          <w:bCs/>
          <w:i w:val="0"/>
          <w:color w:val="auto"/>
          <w:kern w:val="2"/>
          <w:sz w:val="32"/>
          <w:szCs w:val="32"/>
          <w:lang w:val="en-US" w:eastAsia="zh-CN" w:bidi="ar-SA"/>
        </w:rPr>
        <w:t>3</w:t>
      </w:r>
      <w:r>
        <w:rPr>
          <w:rFonts w:hint="default" w:ascii="Times New Roman" w:hAnsi="Times New Roman" w:eastAsia="楷体_GB2312" w:cs="Times New Roman"/>
          <w:b w:val="0"/>
          <w:bCs/>
          <w:i w:val="0"/>
          <w:color w:val="auto"/>
          <w:kern w:val="2"/>
          <w:sz w:val="32"/>
          <w:szCs w:val="32"/>
          <w:lang w:val="en-US" w:eastAsia="zh-CN" w:bidi="ar-SA"/>
        </w:rPr>
        <w:t>. 市疾控中心委托课题</w:t>
      </w:r>
    </w:p>
    <w:p w14:paraId="6D9FDB13">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题目：AI技术赋能基层公共卫生管理的可行性研究</w:t>
      </w:r>
    </w:p>
    <w:p w14:paraId="7F00A7D5">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auto"/>
          <w:kern w:val="2"/>
          <w:sz w:val="32"/>
          <w:szCs w:val="32"/>
          <w:lang w:val="en-US" w:eastAsia="zh-CN" w:bidi="ar-SA"/>
        </w:rPr>
        <w:t>成果要求：</w:t>
      </w:r>
      <w:r>
        <w:rPr>
          <w:rFonts w:hint="eastAsia" w:ascii="Times New Roman" w:hAnsi="Times New Roman" w:cs="Times New Roman"/>
          <w:color w:val="auto"/>
          <w:kern w:val="2"/>
          <w:sz w:val="32"/>
          <w:szCs w:val="32"/>
          <w:lang w:val="en-US" w:eastAsia="zh-CN" w:bidi="ar-SA"/>
        </w:rPr>
        <w:t>①系统梳理人工智能在基层医疗卫生系统的应用进展、存在问题及风险挑战。②从实践角度探索“人工智能+”基层公卫服务管理的应用场景，探索数字化与智能化技术与基本公共卫生服务的提供方式、管理机制与评价体系等方面的深度融合机制和实践经验。③成果形式可以为研究报告、论文等形式，成果应具有原创性且未曾公开发表。</w:t>
      </w:r>
    </w:p>
    <w:p w14:paraId="2BD3318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023D056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w:t>
      </w:r>
      <w:r>
        <w:rPr>
          <w:rFonts w:hint="eastAsia" w:ascii="Times New Roman" w:hAnsi="Times New Roman" w:eastAsia="楷体_GB2312" w:cs="Times New Roman"/>
          <w:b w:val="0"/>
          <w:bCs/>
          <w:i w:val="0"/>
          <w:color w:val="auto"/>
          <w:kern w:val="2"/>
          <w:sz w:val="32"/>
          <w:szCs w:val="32"/>
          <w:lang w:val="en-US" w:eastAsia="zh-CN" w:bidi="ar-SA"/>
        </w:rPr>
        <w:t>4</w:t>
      </w:r>
      <w:r>
        <w:rPr>
          <w:rFonts w:hint="default" w:ascii="Times New Roman" w:hAnsi="Times New Roman" w:eastAsia="楷体_GB2312" w:cs="Times New Roman"/>
          <w:b w:val="0"/>
          <w:bCs/>
          <w:i w:val="0"/>
          <w:color w:val="auto"/>
          <w:kern w:val="2"/>
          <w:sz w:val="32"/>
          <w:szCs w:val="32"/>
          <w:lang w:val="en-US" w:eastAsia="zh-CN" w:bidi="ar-SA"/>
        </w:rPr>
        <w:t>. 临沂大学委托课题</w:t>
      </w:r>
    </w:p>
    <w:p w14:paraId="7BE169C0">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数智时代革命文物保护利用研究</w:t>
      </w:r>
    </w:p>
    <w:p w14:paraId="407CEC3B">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w:t>
      </w:r>
      <w:r>
        <w:rPr>
          <w:rFonts w:hint="eastAsia" w:ascii="Times New Roman" w:hAnsi="Times New Roman" w:cs="Times New Roman"/>
          <w:color w:val="auto"/>
          <w:kern w:val="2"/>
          <w:sz w:val="32"/>
          <w:szCs w:val="32"/>
          <w:lang w:val="en-US" w:eastAsia="zh-CN" w:bidi="ar-SA"/>
        </w:rPr>
        <w:t>成果要求为研究报告，报告要切中问题，根据数智时代的特征，提出革命文物保护利用的新模式，新路径，为临沂大学国家革命文物协同研究中心开展相关研究提供有效补充和借鉴。研究报告要求1万字左右，重复率不得超过15%，研究成果要有数据、有观点、具有可执行性。</w:t>
      </w:r>
    </w:p>
    <w:p w14:paraId="5F6D144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6F0E2B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w:t>
      </w:r>
      <w:r>
        <w:rPr>
          <w:rFonts w:hint="eastAsia" w:ascii="Times New Roman" w:hAnsi="Times New Roman" w:eastAsia="楷体_GB2312" w:cs="Times New Roman"/>
          <w:b w:val="0"/>
          <w:bCs/>
          <w:i w:val="0"/>
          <w:color w:val="auto"/>
          <w:kern w:val="2"/>
          <w:sz w:val="32"/>
          <w:szCs w:val="32"/>
          <w:lang w:val="en-US" w:eastAsia="zh-CN" w:bidi="ar-SA"/>
        </w:rPr>
        <w:t>5</w:t>
      </w:r>
      <w:r>
        <w:rPr>
          <w:rFonts w:hint="default" w:ascii="Times New Roman" w:hAnsi="Times New Roman" w:eastAsia="楷体_GB2312" w:cs="Times New Roman"/>
          <w:b w:val="0"/>
          <w:bCs/>
          <w:i w:val="0"/>
          <w:color w:val="auto"/>
          <w:kern w:val="2"/>
          <w:sz w:val="32"/>
          <w:szCs w:val="32"/>
          <w:lang w:val="en-US" w:eastAsia="zh-CN" w:bidi="ar-SA"/>
        </w:rPr>
        <w:t>. 临沂职业学院委托课题</w:t>
      </w:r>
    </w:p>
    <w:p w14:paraId="67E62419">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题目：临沂市标志性产业链</w:t>
      </w:r>
      <w:r>
        <w:rPr>
          <w:rFonts w:hint="eastAsia" w:ascii="Times New Roman" w:hAnsi="Times New Roman" w:cs="Times New Roman"/>
          <w:b/>
          <w:color w:val="auto"/>
          <w:kern w:val="2"/>
          <w:sz w:val="32"/>
          <w:szCs w:val="32"/>
          <w:lang w:val="en-US" w:eastAsia="zh-CN" w:bidi="ar-SA"/>
        </w:rPr>
        <w:t>“</w:t>
      </w:r>
      <w:r>
        <w:rPr>
          <w:rFonts w:hint="default" w:ascii="Times New Roman" w:hAnsi="Times New Roman" w:eastAsia="仿宋_GB2312" w:cs="Times New Roman"/>
          <w:b/>
          <w:color w:val="auto"/>
          <w:kern w:val="2"/>
          <w:sz w:val="32"/>
          <w:szCs w:val="32"/>
          <w:lang w:val="en-US" w:eastAsia="zh-CN" w:bidi="ar-SA"/>
        </w:rPr>
        <w:t>链长制</w:t>
      </w:r>
      <w:r>
        <w:rPr>
          <w:rFonts w:hint="eastAsia" w:ascii="Times New Roman" w:hAnsi="Times New Roman" w:cs="Times New Roman"/>
          <w:b/>
          <w:color w:val="auto"/>
          <w:kern w:val="2"/>
          <w:sz w:val="32"/>
          <w:szCs w:val="32"/>
          <w:lang w:val="en-US" w:eastAsia="zh-CN" w:bidi="ar-SA"/>
        </w:rPr>
        <w:t>”</w:t>
      </w:r>
      <w:r>
        <w:rPr>
          <w:rFonts w:hint="default" w:ascii="Times New Roman" w:hAnsi="Times New Roman" w:eastAsia="仿宋_GB2312" w:cs="Times New Roman"/>
          <w:b/>
          <w:color w:val="auto"/>
          <w:kern w:val="2"/>
          <w:sz w:val="32"/>
          <w:szCs w:val="32"/>
          <w:lang w:val="en-US" w:eastAsia="zh-CN" w:bidi="ar-SA"/>
        </w:rPr>
        <w:t>下产教融合赋能民营经济高质量发展路径研究</w:t>
      </w:r>
    </w:p>
    <w:p w14:paraId="4AFB99B4">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成果要求：①梳理临沂市标志性产业链产教融合与民营经济结合的实践现状、经验及痛点。②结合</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链长制</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特点，研究</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产业链+院校+民营企业</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三方联动的产教融合模式与差异化路径。③成果含研究报告、政策建议稿及校企合作手册，需数据真实、措施可行，能为校企合作实践和政策制定提供直接参考。</w:t>
      </w:r>
    </w:p>
    <w:p w14:paraId="1E8438B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18DF2E9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w:t>
      </w:r>
      <w:r>
        <w:rPr>
          <w:rFonts w:hint="eastAsia" w:ascii="Times New Roman" w:hAnsi="Times New Roman" w:eastAsia="楷体_GB2312" w:cs="Times New Roman"/>
          <w:b w:val="0"/>
          <w:bCs/>
          <w:i w:val="0"/>
          <w:color w:val="auto"/>
          <w:kern w:val="2"/>
          <w:sz w:val="32"/>
          <w:szCs w:val="32"/>
          <w:lang w:val="en-US" w:eastAsia="zh-CN" w:bidi="ar-SA"/>
        </w:rPr>
        <w:t>6</w:t>
      </w:r>
      <w:r>
        <w:rPr>
          <w:rFonts w:hint="default" w:ascii="Times New Roman" w:hAnsi="Times New Roman" w:eastAsia="楷体_GB2312" w:cs="Times New Roman"/>
          <w:b w:val="0"/>
          <w:bCs/>
          <w:i w:val="0"/>
          <w:color w:val="auto"/>
          <w:kern w:val="2"/>
          <w:sz w:val="32"/>
          <w:szCs w:val="32"/>
          <w:lang w:val="en-US" w:eastAsia="zh-CN" w:bidi="ar-SA"/>
        </w:rPr>
        <w:t>. 临沂科技职业学院委托课题</w:t>
      </w:r>
    </w:p>
    <w:p w14:paraId="28F43E91">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题目：临沂市大中小学一体化生态文明教育衔接机制研究</w:t>
      </w:r>
    </w:p>
    <w:p w14:paraId="12600343">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将主要服务于临沂市大中小学一体化生态文明教育体系建设，重点为生态环境、教育行政部门统筹推进生态文明教育提供决策参考和制度支撑。研究形成的衔接机制框架、实施路径和对策建议，可作为完善区域生态文明教育政策、制定相关实施方案和行动计划的重要依据。同时，课题成果可为临沂市各级各类学校在生态文明教育目标衔接、课程体系建设、实践活动设计和评价机制构建等方面提供操作性指导。</w:t>
      </w:r>
    </w:p>
    <w:p w14:paraId="415E47C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33A46D9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w:t>
      </w:r>
      <w:r>
        <w:rPr>
          <w:rFonts w:hint="eastAsia" w:ascii="Times New Roman" w:hAnsi="Times New Roman" w:eastAsia="楷体_GB2312" w:cs="Times New Roman"/>
          <w:b w:val="0"/>
          <w:bCs/>
          <w:i w:val="0"/>
          <w:color w:val="auto"/>
          <w:kern w:val="2"/>
          <w:sz w:val="32"/>
          <w:szCs w:val="32"/>
          <w:lang w:val="en-US" w:eastAsia="zh-CN" w:bidi="ar-SA"/>
        </w:rPr>
        <w:t>7</w:t>
      </w:r>
      <w:r>
        <w:rPr>
          <w:rFonts w:hint="default" w:ascii="Times New Roman" w:hAnsi="Times New Roman" w:eastAsia="楷体_GB2312" w:cs="Times New Roman"/>
          <w:b w:val="0"/>
          <w:bCs/>
          <w:i w:val="0"/>
          <w:color w:val="auto"/>
          <w:kern w:val="2"/>
          <w:sz w:val="32"/>
          <w:szCs w:val="32"/>
          <w:lang w:val="en-US" w:eastAsia="zh-CN" w:bidi="ar-SA"/>
        </w:rPr>
        <w:t>. 市人民医院委托课题</w:t>
      </w:r>
    </w:p>
    <w:p w14:paraId="7204C527">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题目：阅读推广视域下沂蒙精神融入医务人员心理建设路径研究</w:t>
      </w:r>
    </w:p>
    <w:p w14:paraId="3F3E22AB">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成果要求：课题研究成果可以为论文或研究报告等形式。需深入探讨分析与委托课题相关的现状，以及存在的问题，应有详实数据支撑或典型案例分析，并提出可操作性</w:t>
      </w:r>
      <w:r>
        <w:rPr>
          <w:rFonts w:hint="eastAsia" w:ascii="Times New Roman" w:hAnsi="Times New Roman" w:cs="Times New Roman"/>
          <w:color w:val="auto"/>
          <w:kern w:val="2"/>
          <w:sz w:val="32"/>
          <w:szCs w:val="32"/>
          <w:lang w:val="en-US" w:eastAsia="zh-CN" w:bidi="ar-SA"/>
        </w:rPr>
        <w:t>强</w:t>
      </w:r>
      <w:r>
        <w:rPr>
          <w:rFonts w:hint="default" w:ascii="Times New Roman" w:hAnsi="Times New Roman" w:eastAsia="仿宋_GB2312" w:cs="Times New Roman"/>
          <w:color w:val="auto"/>
          <w:kern w:val="2"/>
          <w:sz w:val="32"/>
          <w:szCs w:val="32"/>
          <w:lang w:val="en-US" w:eastAsia="zh-CN" w:bidi="ar-SA"/>
        </w:rPr>
        <w:t>的措施或对策建议。</w:t>
      </w:r>
    </w:p>
    <w:p w14:paraId="16C601A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年8月31日</w:t>
      </w:r>
    </w:p>
    <w:p w14:paraId="250BA71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楷体_GB2312" w:cs="Times New Roman"/>
          <w:b w:val="0"/>
          <w:bCs/>
          <w:i w:val="0"/>
          <w:color w:val="auto"/>
          <w:kern w:val="2"/>
          <w:sz w:val="32"/>
          <w:szCs w:val="32"/>
          <w:lang w:val="en-US" w:eastAsia="zh-CN" w:bidi="ar-SA"/>
        </w:rPr>
        <w:t>1</w:t>
      </w:r>
      <w:r>
        <w:rPr>
          <w:rFonts w:hint="eastAsia" w:ascii="Times New Roman" w:hAnsi="Times New Roman" w:eastAsia="楷体_GB2312" w:cs="Times New Roman"/>
          <w:b w:val="0"/>
          <w:bCs/>
          <w:i w:val="0"/>
          <w:color w:val="auto"/>
          <w:kern w:val="2"/>
          <w:sz w:val="32"/>
          <w:szCs w:val="32"/>
          <w:lang w:val="en-US" w:eastAsia="zh-CN" w:bidi="ar-SA"/>
        </w:rPr>
        <w:t>8</w:t>
      </w:r>
      <w:r>
        <w:rPr>
          <w:rFonts w:hint="default" w:ascii="Times New Roman" w:hAnsi="Times New Roman" w:eastAsia="楷体_GB2312" w:cs="Times New Roman"/>
          <w:b w:val="0"/>
          <w:bCs/>
          <w:i w:val="0"/>
          <w:color w:val="auto"/>
          <w:kern w:val="2"/>
          <w:sz w:val="32"/>
          <w:szCs w:val="32"/>
          <w:lang w:val="en-US" w:eastAsia="zh-CN" w:bidi="ar-SA"/>
        </w:rPr>
        <w:t>. 临沂市中心医院委托课题</w:t>
      </w:r>
    </w:p>
    <w:p w14:paraId="1345B409">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题目：组织文化韧性视角下红医精神与现代医院治理体系融合机制研究</w:t>
      </w:r>
    </w:p>
    <w:p w14:paraId="21033DC0">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成果要求：成果形式为研究报告或论文。解析红医精神的内涵特征与时代价值，深入探究红医精神与现代医院治理体系的融合机制，提出可操作的文化韧性提升策略。</w:t>
      </w:r>
    </w:p>
    <w:p w14:paraId="72E821F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2026年9月30日</w:t>
      </w:r>
    </w:p>
    <w:p w14:paraId="38F1DD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19</w:t>
      </w:r>
      <w:r>
        <w:rPr>
          <w:rFonts w:hint="default" w:ascii="Times New Roman" w:hAnsi="Times New Roman" w:eastAsia="楷体_GB2312" w:cs="Times New Roman"/>
          <w:b w:val="0"/>
          <w:bCs/>
          <w:i w:val="0"/>
          <w:color w:val="auto"/>
          <w:kern w:val="2"/>
          <w:sz w:val="32"/>
          <w:szCs w:val="32"/>
          <w:lang w:val="en-US" w:eastAsia="zh-CN" w:bidi="ar-SA"/>
        </w:rPr>
        <w:t>. 中共兰山区委宣传部委托课题</w:t>
      </w:r>
    </w:p>
    <w:p w14:paraId="371FE174">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题目：针对多国加入针对木业（机械、塑料）行业反倾销税（AD）和反补贴税（CVD）的策略</w:t>
      </w:r>
    </w:p>
    <w:p w14:paraId="09F91446">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w:t>
      </w:r>
      <w:r>
        <w:rPr>
          <w:rFonts w:hint="eastAsia" w:ascii="Times New Roman" w:hAnsi="Times New Roman" w:cs="Times New Roman"/>
          <w:color w:val="auto"/>
          <w:kern w:val="2"/>
          <w:sz w:val="32"/>
          <w:szCs w:val="32"/>
          <w:lang w:val="en-US" w:eastAsia="zh-CN" w:bidi="ar-SA"/>
        </w:rPr>
        <w:t>围绕</w:t>
      </w:r>
      <w:r>
        <w:rPr>
          <w:rFonts w:hint="default" w:ascii="Times New Roman" w:hAnsi="Times New Roman" w:eastAsia="仿宋_GB2312" w:cs="Times New Roman"/>
          <w:color w:val="auto"/>
          <w:kern w:val="2"/>
          <w:sz w:val="32"/>
          <w:szCs w:val="32"/>
          <w:lang w:val="en-US" w:eastAsia="zh-CN" w:bidi="ar-SA"/>
        </w:rPr>
        <w:t>促进全市外贸高质量发展</w:t>
      </w:r>
      <w:r>
        <w:rPr>
          <w:rFonts w:hint="eastAsia" w:ascii="Times New Roman" w:hAnsi="Times New Roman" w:cs="Times New Roman"/>
          <w:color w:val="auto"/>
          <w:kern w:val="2"/>
          <w:sz w:val="32"/>
          <w:szCs w:val="32"/>
          <w:lang w:val="en-US" w:eastAsia="zh-CN" w:bidi="ar-SA"/>
        </w:rPr>
        <w:t>开展研究，</w:t>
      </w:r>
      <w:r>
        <w:rPr>
          <w:rFonts w:hint="default" w:ascii="Times New Roman" w:hAnsi="Times New Roman" w:eastAsia="仿宋_GB2312" w:cs="Times New Roman"/>
          <w:color w:val="auto"/>
          <w:kern w:val="2"/>
          <w:sz w:val="32"/>
          <w:szCs w:val="32"/>
          <w:lang w:val="en-US" w:eastAsia="zh-CN" w:bidi="ar-SA"/>
        </w:rPr>
        <w:t>建议措施要具有可操作性、可行性。</w:t>
      </w:r>
    </w:p>
    <w:p w14:paraId="411D19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7</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1</w:t>
      </w:r>
      <w:r>
        <w:rPr>
          <w:rFonts w:hint="default" w:ascii="Times New Roman" w:hAnsi="Times New Roman" w:eastAsia="仿宋_GB2312" w:cs="Times New Roman"/>
          <w:color w:val="auto"/>
          <w:kern w:val="2"/>
          <w:sz w:val="32"/>
          <w:szCs w:val="32"/>
          <w:lang w:val="en-US" w:eastAsia="zh-CN" w:bidi="ar-SA"/>
        </w:rPr>
        <w:t>日</w:t>
      </w:r>
    </w:p>
    <w:p w14:paraId="11CA64A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20</w:t>
      </w:r>
      <w:r>
        <w:rPr>
          <w:rFonts w:hint="default" w:ascii="Times New Roman" w:hAnsi="Times New Roman" w:eastAsia="楷体_GB2312" w:cs="Times New Roman"/>
          <w:b w:val="0"/>
          <w:bCs/>
          <w:i w:val="0"/>
          <w:color w:val="auto"/>
          <w:kern w:val="2"/>
          <w:sz w:val="32"/>
          <w:szCs w:val="32"/>
          <w:lang w:val="en-US" w:eastAsia="zh-CN" w:bidi="ar-SA"/>
        </w:rPr>
        <w:t>. 中共蒙阴县委宣传部委托课题</w:t>
      </w:r>
    </w:p>
    <w:p w14:paraId="74498253">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题目：关于美德信用建设助力基层治理的研究</w:t>
      </w:r>
    </w:p>
    <w:p w14:paraId="390E18DA">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课题成果应建立在深入调研的基础上，以咨政研究报告或学术论文形式成稿，字数不少于6000字，既要有详细数据支撑，又要有典型案例分析，深入总结梳理工作经验，剖析存在问题，并提出合理性、科学性、针对性、可操作</w:t>
      </w:r>
      <w:r>
        <w:rPr>
          <w:rFonts w:hint="eastAsia" w:ascii="Times New Roman" w:hAnsi="Times New Roman" w:cs="Times New Roman"/>
          <w:color w:val="auto"/>
          <w:kern w:val="2"/>
          <w:sz w:val="32"/>
          <w:szCs w:val="32"/>
          <w:lang w:val="en-US" w:eastAsia="zh-CN" w:bidi="ar-SA"/>
        </w:rPr>
        <w:t>性强的</w:t>
      </w:r>
      <w:r>
        <w:rPr>
          <w:rFonts w:hint="default" w:ascii="Times New Roman" w:hAnsi="Times New Roman" w:eastAsia="仿宋_GB2312" w:cs="Times New Roman"/>
          <w:color w:val="auto"/>
          <w:kern w:val="2"/>
          <w:sz w:val="32"/>
          <w:szCs w:val="32"/>
          <w:lang w:val="en-US" w:eastAsia="zh-CN" w:bidi="ar-SA"/>
        </w:rPr>
        <w:t>意见和建议。</w:t>
      </w:r>
    </w:p>
    <w:p w14:paraId="174FAC9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4F7EE6A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21</w:t>
      </w:r>
      <w:r>
        <w:rPr>
          <w:rFonts w:hint="default" w:ascii="Times New Roman" w:hAnsi="Times New Roman" w:eastAsia="楷体_GB2312" w:cs="Times New Roman"/>
          <w:b w:val="0"/>
          <w:bCs/>
          <w:i w:val="0"/>
          <w:color w:val="auto"/>
          <w:kern w:val="2"/>
          <w:sz w:val="32"/>
          <w:szCs w:val="32"/>
          <w:lang w:val="en-US" w:eastAsia="zh-CN" w:bidi="ar-SA"/>
        </w:rPr>
        <w:t>. 中共临沂市委沂河新区工作委员会宣传部委托课题</w:t>
      </w:r>
    </w:p>
    <w:p w14:paraId="300FE1BF">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题目：构建临沂立体交通格局</w:t>
      </w:r>
      <w:r>
        <w:rPr>
          <w:rFonts w:hint="eastAsia" w:ascii="Times New Roman" w:hAnsi="Times New Roman" w:cs="Times New Roman"/>
          <w:b/>
          <w:color w:val="auto"/>
          <w:kern w:val="2"/>
          <w:sz w:val="32"/>
          <w:szCs w:val="32"/>
          <w:lang w:val="en-US" w:eastAsia="zh-CN" w:bidi="ar-SA"/>
        </w:rPr>
        <w:t xml:space="preserve"> </w:t>
      </w:r>
      <w:r>
        <w:rPr>
          <w:rFonts w:hint="default" w:ascii="Times New Roman" w:hAnsi="Times New Roman" w:eastAsia="仿宋_GB2312" w:cs="Times New Roman"/>
          <w:b/>
          <w:color w:val="auto"/>
          <w:kern w:val="2"/>
          <w:sz w:val="32"/>
          <w:szCs w:val="32"/>
          <w:lang w:val="en-US" w:eastAsia="zh-CN" w:bidi="ar-SA"/>
        </w:rPr>
        <w:t>促进枢纽经济发展</w:t>
      </w:r>
      <w:r>
        <w:rPr>
          <w:rFonts w:hint="eastAsia" w:ascii="Times New Roman" w:hAnsi="Times New Roman" w:cs="Times New Roman"/>
          <w:b/>
          <w:color w:val="auto"/>
          <w:kern w:val="2"/>
          <w:sz w:val="32"/>
          <w:szCs w:val="32"/>
          <w:lang w:val="en-US" w:eastAsia="zh-CN" w:bidi="ar-SA"/>
        </w:rPr>
        <w:t>研究</w:t>
      </w:r>
    </w:p>
    <w:p w14:paraId="5873C7C6">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研究成果可以为论文、报告或专著等形式，主要包括该课题研究的目的和意义；研究成果的主要内容、重要观点或对策建议；成果的学术价值、应用价值，以及社会影响等内容。研究类型包括但不限于理论阐发、经验提炼、问题分析、对策建议等。</w:t>
      </w:r>
    </w:p>
    <w:p w14:paraId="45B63F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2A0025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22</w:t>
      </w:r>
      <w:r>
        <w:rPr>
          <w:rFonts w:hint="default" w:ascii="Times New Roman" w:hAnsi="Times New Roman" w:eastAsia="楷体_GB2312" w:cs="Times New Roman"/>
          <w:b w:val="0"/>
          <w:bCs/>
          <w:i w:val="0"/>
          <w:color w:val="auto"/>
          <w:kern w:val="2"/>
          <w:sz w:val="32"/>
          <w:szCs w:val="32"/>
          <w:lang w:val="en-US" w:eastAsia="zh-CN" w:bidi="ar-SA"/>
        </w:rPr>
        <w:t>. 河东区社科联委托课题</w:t>
      </w:r>
    </w:p>
    <w:p w14:paraId="7E289B3D">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题目：新时代沂蒙精神的传承机制与基层实践路径研究</w:t>
      </w:r>
    </w:p>
    <w:p w14:paraId="6E680BD9">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成果要求：聚焦</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党群同心、军民情深、水乳交融、生死与共</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基本内涵，展现新时代条件下发扬光大沂蒙精神的形式方法与创新路径。</w:t>
      </w:r>
    </w:p>
    <w:p w14:paraId="4ADC9F1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42D2A6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23</w:t>
      </w:r>
      <w:r>
        <w:rPr>
          <w:rFonts w:hint="default" w:ascii="Times New Roman" w:hAnsi="Times New Roman" w:eastAsia="楷体_GB2312" w:cs="Times New Roman"/>
          <w:b w:val="0"/>
          <w:bCs/>
          <w:i w:val="0"/>
          <w:color w:val="auto"/>
          <w:kern w:val="2"/>
          <w:sz w:val="32"/>
          <w:szCs w:val="32"/>
          <w:lang w:val="en-US" w:eastAsia="zh-CN" w:bidi="ar-SA"/>
        </w:rPr>
        <w:t>. 兰陵县社科联委托课题</w:t>
      </w:r>
    </w:p>
    <w:p w14:paraId="3C6533C5">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题目：沂蒙根据地纪律作风建设对清廉临沂建设的启示</w:t>
      </w:r>
    </w:p>
    <w:p w14:paraId="161B56BA">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成果要求：推动沂蒙精神与清廉建设深度融合，为临沂</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五位一体</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清廉格局筑牢理论支撑，破解区域推进不均、文化浸润不足等问题。</w:t>
      </w:r>
    </w:p>
    <w:p w14:paraId="4B9ED91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年8月31日</w:t>
      </w:r>
    </w:p>
    <w:p w14:paraId="158464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24</w:t>
      </w:r>
      <w:r>
        <w:rPr>
          <w:rFonts w:hint="default" w:ascii="Times New Roman" w:hAnsi="Times New Roman" w:eastAsia="楷体_GB2312" w:cs="Times New Roman"/>
          <w:b w:val="0"/>
          <w:bCs/>
          <w:i w:val="0"/>
          <w:color w:val="auto"/>
          <w:kern w:val="2"/>
          <w:sz w:val="32"/>
          <w:szCs w:val="32"/>
          <w:lang w:val="en-US" w:eastAsia="zh-CN" w:bidi="ar-SA"/>
        </w:rPr>
        <w:t>. 沂水县社科联委托课题</w:t>
      </w:r>
    </w:p>
    <w:p w14:paraId="2060495E">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题目：要素资源数字化应用对城乡融合发展的研究与实践</w:t>
      </w:r>
    </w:p>
    <w:p w14:paraId="40A2706C">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①从临沂市典型案例入手，全面调研要素资源流动与城乡融合发展的相互作用机理。②分析临沂市要素资源数字化利用情况，分析问题并总结经验。③探索并提出城乡融合发展切实可行的实施路径、对策建议，能够为政府决策提供参考。④成果可以研究报告、学术论文形式提供，课题设计为方向性条目，可自选切入点。成果应具有原创性且未曾公开发表。</w:t>
      </w:r>
    </w:p>
    <w:p w14:paraId="09BF44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73ABD0C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25</w:t>
      </w:r>
      <w:r>
        <w:rPr>
          <w:rFonts w:hint="default" w:ascii="Times New Roman" w:hAnsi="Times New Roman" w:eastAsia="楷体_GB2312" w:cs="Times New Roman"/>
          <w:b w:val="0"/>
          <w:bCs/>
          <w:i w:val="0"/>
          <w:color w:val="auto"/>
          <w:kern w:val="2"/>
          <w:sz w:val="32"/>
          <w:szCs w:val="32"/>
          <w:lang w:val="en-US" w:eastAsia="zh-CN" w:bidi="ar-SA"/>
        </w:rPr>
        <w:t>. 沂南县社科联委托课题</w:t>
      </w:r>
    </w:p>
    <w:p w14:paraId="680743D9">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题目：中小微企业财政金融纾困与长效机制研究</w:t>
      </w:r>
    </w:p>
    <w:p w14:paraId="66B40C31">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研究报告需逻辑严谨、数据详实、分析深入，涵盖中小微企业纾困需求特征、现有政策实施成效及问题、财政金融协同纾困内在逻辑、长效支持体系构建路径及针对性政策建议等核心内容，注重实际应用价值，为相关决策提供参考。</w:t>
      </w:r>
    </w:p>
    <w:p w14:paraId="586018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21372E8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26</w:t>
      </w:r>
      <w:r>
        <w:rPr>
          <w:rFonts w:hint="default" w:ascii="Times New Roman" w:hAnsi="Times New Roman" w:eastAsia="楷体_GB2312" w:cs="Times New Roman"/>
          <w:b w:val="0"/>
          <w:bCs/>
          <w:i w:val="0"/>
          <w:color w:val="auto"/>
          <w:kern w:val="2"/>
          <w:sz w:val="32"/>
          <w:szCs w:val="32"/>
          <w:lang w:val="en-US" w:eastAsia="zh-CN" w:bidi="ar-SA"/>
        </w:rPr>
        <w:t>. 平邑县社科联委托课题</w:t>
      </w:r>
    </w:p>
    <w:p w14:paraId="330F03BA">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题目：关于加快发展和培育地方特色产业体系研究</w:t>
      </w:r>
    </w:p>
    <w:p w14:paraId="45A6E2E8">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成果要求：深刻剖析地方特色产业发展（</w:t>
      </w:r>
      <w:r>
        <w:rPr>
          <w:rFonts w:hint="eastAsia" w:ascii="Times New Roman" w:hAnsi="Times New Roman" w:cs="Times New Roman"/>
          <w:color w:val="auto"/>
          <w:kern w:val="2"/>
          <w:sz w:val="32"/>
          <w:szCs w:val="32"/>
          <w:lang w:val="en-US" w:eastAsia="zh-CN" w:bidi="ar-SA"/>
        </w:rPr>
        <w:t>可聚焦临沂市任意</w:t>
      </w:r>
      <w:r>
        <w:rPr>
          <w:rFonts w:hint="default" w:ascii="Times New Roman" w:hAnsi="Times New Roman" w:eastAsia="仿宋_GB2312" w:cs="Times New Roman"/>
          <w:color w:val="auto"/>
          <w:kern w:val="2"/>
          <w:sz w:val="32"/>
          <w:szCs w:val="32"/>
          <w:lang w:val="en-US" w:eastAsia="zh-CN" w:bidi="ar-SA"/>
        </w:rPr>
        <w:t>一个</w:t>
      </w:r>
      <w:r>
        <w:rPr>
          <w:rFonts w:hint="eastAsia" w:ascii="Times New Roman" w:hAnsi="Times New Roman" w:cs="Times New Roman"/>
          <w:color w:val="auto"/>
          <w:kern w:val="2"/>
          <w:sz w:val="32"/>
          <w:szCs w:val="32"/>
          <w:lang w:val="en-US" w:eastAsia="zh-CN" w:bidi="ar-SA"/>
        </w:rPr>
        <w:t>地方特色</w:t>
      </w:r>
      <w:r>
        <w:rPr>
          <w:rFonts w:hint="default" w:ascii="Times New Roman" w:hAnsi="Times New Roman" w:eastAsia="仿宋_GB2312" w:cs="Times New Roman"/>
          <w:color w:val="auto"/>
          <w:kern w:val="2"/>
          <w:sz w:val="32"/>
          <w:szCs w:val="32"/>
          <w:lang w:val="en-US" w:eastAsia="zh-CN" w:bidi="ar-SA"/>
        </w:rPr>
        <w:t>产业）困境，问题存在的根源，探讨建立健全产业链条，加快园区化建设，形成地方特色产业群，打造特色产业之都。</w:t>
      </w:r>
    </w:p>
    <w:p w14:paraId="6E04A23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529E0AA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27</w:t>
      </w:r>
      <w:r>
        <w:rPr>
          <w:rFonts w:hint="default" w:ascii="Times New Roman" w:hAnsi="Times New Roman" w:eastAsia="楷体_GB2312" w:cs="Times New Roman"/>
          <w:b w:val="0"/>
          <w:bCs/>
          <w:i w:val="0"/>
          <w:color w:val="auto"/>
          <w:kern w:val="2"/>
          <w:sz w:val="32"/>
          <w:szCs w:val="32"/>
          <w:lang w:val="en-US" w:eastAsia="zh-CN" w:bidi="ar-SA"/>
        </w:rPr>
        <w:t>. 费县社科联委托课题</w:t>
      </w:r>
    </w:p>
    <w:p w14:paraId="447B0696">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题目：新时代传承弘扬沂蒙精神的实践模式和传播路径研究探析</w:t>
      </w:r>
    </w:p>
    <w:p w14:paraId="131DC9DD">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成果要求：不少于6000字的研究报告，对全市传承弘扬沂蒙精神现状进行充分调研，针对实践模式和传播路径中的问题、瓶颈进行深度分析，提出切实可行的对策建议。</w:t>
      </w:r>
    </w:p>
    <w:p w14:paraId="72E5208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744289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28</w:t>
      </w:r>
      <w:r>
        <w:rPr>
          <w:rFonts w:hint="default" w:ascii="Times New Roman" w:hAnsi="Times New Roman" w:eastAsia="楷体_GB2312" w:cs="Times New Roman"/>
          <w:b w:val="0"/>
          <w:bCs/>
          <w:i w:val="0"/>
          <w:color w:val="auto"/>
          <w:kern w:val="2"/>
          <w:sz w:val="32"/>
          <w:szCs w:val="32"/>
          <w:lang w:val="en-US" w:eastAsia="zh-CN" w:bidi="ar-SA"/>
        </w:rPr>
        <w:t>. 临沭县社科联委托课题</w:t>
      </w:r>
    </w:p>
    <w:p w14:paraId="06C18525">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题目：公共文化服务促进文旅消费提质扩容路径研究</w:t>
      </w:r>
    </w:p>
    <w:p w14:paraId="5859F19E">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成果要求：成果为政府制定公共文化服务与文旅消费融合发展政策提供决策依据；为丰富公共文化服务赋能文旅消费的理论体系，激活文化消费潜力、推动文旅产业高质量发展提供路径参考。</w:t>
      </w:r>
      <w:r>
        <w:rPr>
          <w:rFonts w:hint="eastAsia" w:ascii="Times New Roman" w:hAnsi="Times New Roman" w:cs="Times New Roman"/>
          <w:color w:val="auto"/>
          <w:kern w:val="2"/>
          <w:sz w:val="32"/>
          <w:szCs w:val="32"/>
          <w:lang w:val="en-US" w:eastAsia="zh-CN" w:bidi="ar-SA"/>
        </w:rPr>
        <w:t>成果要</w:t>
      </w:r>
      <w:r>
        <w:rPr>
          <w:rFonts w:hint="default" w:ascii="Times New Roman" w:hAnsi="Times New Roman" w:eastAsia="仿宋_GB2312" w:cs="Times New Roman"/>
          <w:color w:val="auto"/>
          <w:kern w:val="2"/>
          <w:sz w:val="32"/>
          <w:szCs w:val="32"/>
          <w:lang w:val="en-US" w:eastAsia="zh-CN" w:bidi="ar-SA"/>
        </w:rPr>
        <w:t>突出创新融合，探索数字文化服务、普惠性文化供给等新赋能模式；兼顾理论深度与实践价值，提出配套保障措施与实施建议。</w:t>
      </w:r>
    </w:p>
    <w:p w14:paraId="4CB3E7D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6D803715">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29</w:t>
      </w:r>
      <w:r>
        <w:rPr>
          <w:rFonts w:hint="default" w:ascii="Times New Roman" w:hAnsi="Times New Roman" w:eastAsia="楷体_GB2312" w:cs="Times New Roman"/>
          <w:b w:val="0"/>
          <w:bCs/>
          <w:i w:val="0"/>
          <w:color w:val="auto"/>
          <w:kern w:val="2"/>
          <w:sz w:val="32"/>
          <w:szCs w:val="32"/>
          <w:lang w:val="en-US" w:eastAsia="zh-CN" w:bidi="ar-SA"/>
        </w:rPr>
        <w:t xml:space="preserve">. </w:t>
      </w:r>
      <w:r>
        <w:rPr>
          <w:rFonts w:hint="eastAsia" w:ascii="Times New Roman" w:hAnsi="Times New Roman" w:eastAsia="楷体_GB2312" w:cs="Times New Roman"/>
          <w:b w:val="0"/>
          <w:bCs/>
          <w:i w:val="0"/>
          <w:color w:val="auto"/>
          <w:kern w:val="2"/>
          <w:sz w:val="32"/>
          <w:szCs w:val="32"/>
          <w:lang w:val="en-US" w:eastAsia="zh-CN" w:bidi="ar-SA"/>
        </w:rPr>
        <w:t>郯城县文联</w:t>
      </w:r>
      <w:r>
        <w:rPr>
          <w:rFonts w:hint="default" w:ascii="Times New Roman" w:hAnsi="Times New Roman" w:eastAsia="楷体_GB2312" w:cs="Times New Roman"/>
          <w:b w:val="0"/>
          <w:bCs/>
          <w:i w:val="0"/>
          <w:color w:val="auto"/>
          <w:kern w:val="2"/>
          <w:sz w:val="32"/>
          <w:szCs w:val="32"/>
          <w:lang w:val="en-US" w:eastAsia="zh-CN" w:bidi="ar-SA"/>
        </w:rPr>
        <w:t>委托课题</w:t>
      </w:r>
    </w:p>
    <w:p w14:paraId="13E42794">
      <w:pPr>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题目：临沂市</w:t>
      </w:r>
      <w:r>
        <w:rPr>
          <w:rFonts w:hint="eastAsia" w:ascii="Times New Roman" w:hAnsi="Times New Roman" w:cs="Times New Roman"/>
          <w:b/>
          <w:color w:val="auto"/>
          <w:kern w:val="2"/>
          <w:sz w:val="32"/>
          <w:szCs w:val="32"/>
          <w:lang w:val="en-US" w:eastAsia="zh-CN" w:bidi="ar-SA"/>
        </w:rPr>
        <w:t>“</w:t>
      </w:r>
      <w:r>
        <w:rPr>
          <w:rFonts w:hint="default" w:ascii="Times New Roman" w:hAnsi="Times New Roman" w:eastAsia="仿宋_GB2312" w:cs="Times New Roman"/>
          <w:b/>
          <w:color w:val="auto"/>
          <w:kern w:val="2"/>
          <w:sz w:val="32"/>
          <w:szCs w:val="32"/>
          <w:lang w:val="en-US" w:eastAsia="zh-CN" w:bidi="ar-SA"/>
        </w:rPr>
        <w:t>村字头</w:t>
      </w:r>
      <w:r>
        <w:rPr>
          <w:rFonts w:hint="eastAsia" w:ascii="Times New Roman" w:hAnsi="Times New Roman" w:cs="Times New Roman"/>
          <w:b/>
          <w:color w:val="auto"/>
          <w:kern w:val="2"/>
          <w:sz w:val="32"/>
          <w:szCs w:val="32"/>
          <w:lang w:val="en-US" w:eastAsia="zh-CN" w:bidi="ar-SA"/>
        </w:rPr>
        <w:t>”</w:t>
      </w:r>
      <w:r>
        <w:rPr>
          <w:rFonts w:hint="default" w:ascii="Times New Roman" w:hAnsi="Times New Roman" w:eastAsia="仿宋_GB2312" w:cs="Times New Roman"/>
          <w:b/>
          <w:color w:val="auto"/>
          <w:kern w:val="2"/>
          <w:sz w:val="32"/>
          <w:szCs w:val="32"/>
          <w:lang w:val="en-US" w:eastAsia="zh-CN" w:bidi="ar-SA"/>
        </w:rPr>
        <w:t>地方性特色群众文化活动品牌创新策略</w:t>
      </w:r>
    </w:p>
    <w:p w14:paraId="01AB3AD6">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成果要求：①成果需系统梳理临沂市现有</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村字头</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群众文化活动品牌的发展现状、优势资源与突出问题，精准分析品牌建设面临的政策环境、地域文化特质；②结合国内乡村文化品牌创新的成功案例，提出具有针对性、可操作性的品牌定位、内容创新、传播推广、机制保障等策略体系，需涵盖品牌</w:t>
      </w:r>
      <w:r>
        <w:rPr>
          <w:rFonts w:hint="eastAsia" w:ascii="Times New Roman" w:hAnsi="Times New Roman" w:cs="Times New Roman"/>
          <w:color w:val="auto"/>
          <w:kern w:val="2"/>
          <w:sz w:val="32"/>
          <w:szCs w:val="32"/>
          <w:lang w:val="en-US" w:eastAsia="zh-CN" w:bidi="ar-SA"/>
        </w:rPr>
        <w:t>I</w:t>
      </w:r>
      <w:r>
        <w:rPr>
          <w:rFonts w:hint="default" w:ascii="Times New Roman" w:hAnsi="Times New Roman" w:eastAsia="仿宋_GB2312" w:cs="Times New Roman"/>
          <w:color w:val="auto"/>
          <w:kern w:val="2"/>
          <w:sz w:val="32"/>
          <w:szCs w:val="32"/>
          <w:lang w:val="en-US" w:eastAsia="zh-CN" w:bidi="ar-SA"/>
        </w:rPr>
        <w:t>P打造、活动形式升级、文旅融合路径、人才队伍建设等核心内容；③成果形式为学术论文、</w:t>
      </w:r>
      <w:r>
        <w:rPr>
          <w:rFonts w:hint="eastAsia" w:ascii="Times New Roman" w:hAnsi="Times New Roman" w:cs="Times New Roman"/>
          <w:color w:val="auto"/>
          <w:kern w:val="2"/>
          <w:sz w:val="32"/>
          <w:szCs w:val="32"/>
          <w:lang w:val="en-US" w:eastAsia="zh-CN" w:bidi="ar-SA"/>
        </w:rPr>
        <w:t>要求</w:t>
      </w:r>
      <w:r>
        <w:rPr>
          <w:rFonts w:hint="default" w:ascii="Times New Roman" w:hAnsi="Times New Roman" w:eastAsia="仿宋_GB2312" w:cs="Times New Roman"/>
          <w:color w:val="auto"/>
          <w:kern w:val="2"/>
          <w:sz w:val="32"/>
          <w:szCs w:val="32"/>
          <w:lang w:val="en-US" w:eastAsia="zh-CN" w:bidi="ar-SA"/>
        </w:rPr>
        <w:t>数据详实、论证充分，政策建议符合我市实际，具备落地可行性。</w:t>
      </w:r>
    </w:p>
    <w:p w14:paraId="0E651D0C">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7</w:t>
      </w:r>
      <w:r>
        <w:rPr>
          <w:rFonts w:hint="default" w:ascii="Times New Roman" w:hAnsi="Times New Roman" w:eastAsia="仿宋_GB2312" w:cs="Times New Roman"/>
          <w:color w:val="auto"/>
          <w:kern w:val="2"/>
          <w:sz w:val="32"/>
          <w:szCs w:val="32"/>
          <w:lang w:val="en-US" w:eastAsia="zh-CN" w:bidi="ar-SA"/>
        </w:rPr>
        <w:t>月31日</w:t>
      </w:r>
    </w:p>
    <w:p w14:paraId="403B5EA0">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eastAsia" w:ascii="Times New Roman" w:hAnsi="Times New Roman" w:eastAsia="楷体_GB2312" w:cs="Times New Roman"/>
          <w:b w:val="0"/>
          <w:bCs/>
          <w:i w:val="0"/>
          <w:color w:val="auto"/>
          <w:kern w:val="2"/>
          <w:sz w:val="32"/>
          <w:szCs w:val="32"/>
          <w:lang w:val="en-US" w:eastAsia="zh-CN" w:bidi="ar-SA"/>
        </w:rPr>
        <w:t>30</w:t>
      </w:r>
      <w:r>
        <w:rPr>
          <w:rFonts w:hint="default" w:ascii="Times New Roman" w:hAnsi="Times New Roman" w:eastAsia="楷体_GB2312" w:cs="Times New Roman"/>
          <w:b w:val="0"/>
          <w:bCs/>
          <w:i w:val="0"/>
          <w:color w:val="auto"/>
          <w:kern w:val="2"/>
          <w:sz w:val="32"/>
          <w:szCs w:val="32"/>
          <w:lang w:val="en-US" w:eastAsia="zh-CN" w:bidi="ar-SA"/>
        </w:rPr>
        <w:t>. 临沂市诸葛亮文化研究会委托课题</w:t>
      </w:r>
    </w:p>
    <w:p w14:paraId="51FD093B">
      <w:pPr>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color w:val="auto"/>
          <w:kern w:val="2"/>
          <w:sz w:val="32"/>
          <w:szCs w:val="32"/>
          <w:lang w:val="en-US" w:eastAsia="zh-CN" w:bidi="ar-SA"/>
        </w:rPr>
        <w:t>题目：</w:t>
      </w:r>
      <w:r>
        <w:rPr>
          <w:rFonts w:hint="eastAsia" w:ascii="Times New Roman" w:hAnsi="Times New Roman" w:cs="Times New Roman"/>
          <w:b/>
          <w:color w:val="auto"/>
          <w:kern w:val="2"/>
          <w:sz w:val="32"/>
          <w:szCs w:val="32"/>
          <w:lang w:val="en-US" w:eastAsia="zh-CN" w:bidi="ar-SA"/>
        </w:rPr>
        <w:t>诸葛亮治国智慧涵养地方领导干部政绩观研究</w:t>
      </w:r>
    </w:p>
    <w:p w14:paraId="60183131">
      <w:pPr>
        <w:keepNext w:val="0"/>
        <w:keepLines w:val="0"/>
        <w:pageBreakBefore w:val="0"/>
        <w:widowControl w:val="0"/>
        <w:kinsoku/>
        <w:wordWrap/>
        <w:overflowPunct/>
        <w:topLinePunct w:val="0"/>
        <w:autoSpaceDE/>
        <w:autoSpaceDN/>
        <w:bidi w:val="0"/>
        <w:spacing w:line="54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成果要求：</w:t>
      </w:r>
      <w:r>
        <w:rPr>
          <w:rFonts w:hint="eastAsia" w:ascii="Times New Roman" w:hAnsi="Times New Roman" w:cs="Times New Roman"/>
          <w:color w:val="auto"/>
          <w:kern w:val="2"/>
          <w:sz w:val="32"/>
          <w:szCs w:val="32"/>
          <w:lang w:val="en-US" w:eastAsia="zh-CN" w:bidi="ar-SA"/>
        </w:rPr>
        <w:t>成果形式为研究报告或论文，要系统研究诸葛亮治国智慧对新时代政绩观的启示和借鉴价值，实现从历史智慧到当代实践的有效转化</w:t>
      </w:r>
      <w:bookmarkStart w:id="0" w:name="_GoBack"/>
      <w:bookmarkEnd w:id="0"/>
      <w:r>
        <w:rPr>
          <w:rFonts w:hint="eastAsia" w:ascii="Times New Roman" w:hAnsi="Times New Roman" w:cs="Times New Roman"/>
          <w:color w:val="auto"/>
          <w:kern w:val="2"/>
          <w:sz w:val="32"/>
          <w:szCs w:val="32"/>
          <w:lang w:val="en-US" w:eastAsia="zh-CN" w:bidi="ar-SA"/>
        </w:rPr>
        <w:t>，为地方领导干部政绩观教育提供兼具文化深度和实践温度的教育资源，为组织部门加强政绩观教育提供可操作的工作方案。</w:t>
      </w:r>
    </w:p>
    <w:p w14:paraId="7B6DA945">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时限：</w:t>
      </w:r>
      <w:r>
        <w:rPr>
          <w:rFonts w:hint="default" w:ascii="Times New Roman" w:hAnsi="Times New Roman" w:cs="Times New Roman"/>
          <w:color w:val="auto"/>
          <w:kern w:val="2"/>
          <w:sz w:val="32"/>
          <w:szCs w:val="32"/>
          <w:lang w:val="en-US" w:eastAsia="zh-CN" w:bidi="ar-SA"/>
        </w:rPr>
        <w:t>202</w:t>
      </w:r>
      <w:r>
        <w:rPr>
          <w:rFonts w:hint="eastAsia" w:ascii="Times New Roman" w:hAnsi="Times New Roman" w:cs="Times New Roman"/>
          <w:color w:val="auto"/>
          <w:kern w:val="2"/>
          <w:sz w:val="32"/>
          <w:szCs w:val="32"/>
          <w:lang w:val="en-US" w:eastAsia="zh-CN" w:bidi="ar-SA"/>
        </w:rPr>
        <w:t>6</w:t>
      </w:r>
      <w:r>
        <w:rPr>
          <w:rFonts w:hint="default" w:ascii="Times New Roman" w:hAnsi="Times New Roman" w:eastAsia="仿宋_GB2312" w:cs="Times New Roman"/>
          <w:color w:val="auto"/>
          <w:kern w:val="2"/>
          <w:sz w:val="32"/>
          <w:szCs w:val="32"/>
          <w:lang w:val="en-US" w:eastAsia="zh-CN" w:bidi="ar-SA"/>
        </w:rPr>
        <w:t>年</w:t>
      </w:r>
      <w:r>
        <w:rPr>
          <w:rFonts w:hint="eastAsia" w:ascii="Times New Roman" w:hAnsi="Times New Roman" w:cs="Times New Roman"/>
          <w:color w:val="auto"/>
          <w:kern w:val="2"/>
          <w:sz w:val="32"/>
          <w:szCs w:val="32"/>
          <w:lang w:val="en-US" w:eastAsia="zh-CN" w:bidi="ar-SA"/>
        </w:rPr>
        <w:t>9</w:t>
      </w:r>
      <w:r>
        <w:rPr>
          <w:rFonts w:hint="default" w:ascii="Times New Roman" w:hAnsi="Times New Roman" w:eastAsia="仿宋_GB2312" w:cs="Times New Roman"/>
          <w:color w:val="auto"/>
          <w:kern w:val="2"/>
          <w:sz w:val="32"/>
          <w:szCs w:val="32"/>
          <w:lang w:val="en-US" w:eastAsia="zh-CN" w:bidi="ar-SA"/>
        </w:rPr>
        <w:t>月3</w:t>
      </w:r>
      <w:r>
        <w:rPr>
          <w:rFonts w:hint="eastAsia" w:ascii="Times New Roman" w:hAnsi="Times New Roman"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日</w:t>
      </w:r>
    </w:p>
    <w:p w14:paraId="6E12A4D4">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left"/>
        <w:textAlignment w:val="auto"/>
        <w:outlineLvl w:val="1"/>
        <w:rPr>
          <w:rFonts w:hint="eastAsia" w:ascii="Times New Roman" w:hAnsi="Times New Roman" w:eastAsia="黑体" w:cs="Arial"/>
          <w:snapToGrid w:val="0"/>
          <w:color w:val="000000"/>
          <w:kern w:val="0"/>
          <w:sz w:val="32"/>
          <w:szCs w:val="21"/>
          <w:lang w:val="en-US" w:eastAsia="zh-CN" w:bidi="ar-SA"/>
        </w:rPr>
      </w:pPr>
      <w:r>
        <w:rPr>
          <w:rFonts w:hint="eastAsia" w:ascii="Times New Roman" w:hAnsi="Times New Roman" w:eastAsia="黑体" w:cs="Arial"/>
          <w:snapToGrid w:val="0"/>
          <w:color w:val="000000"/>
          <w:kern w:val="0"/>
          <w:sz w:val="32"/>
          <w:szCs w:val="21"/>
          <w:lang w:val="en-US" w:eastAsia="zh-CN" w:bidi="ar-SA"/>
        </w:rPr>
        <w:t>三、社会科学普及应用研究课题</w:t>
      </w:r>
    </w:p>
    <w:p w14:paraId="24EC6BB4">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（一）党的创新理论普及与应用研究</w:t>
      </w:r>
    </w:p>
    <w:p w14:paraId="54F06D6D">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（二）沂蒙精神普及与应用研究</w:t>
      </w:r>
    </w:p>
    <w:p w14:paraId="7491F460">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（三）琅琊文化普及与应用研究</w:t>
      </w:r>
    </w:p>
    <w:p w14:paraId="488E97D1">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（四）新质社科普及与应用研究</w:t>
      </w:r>
    </w:p>
    <w:p w14:paraId="0542C83C">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（五）美德风尚普及与应用研究</w:t>
      </w:r>
    </w:p>
    <w:p w14:paraId="333FC818">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（六）“与社科同行”科普成果传播创新研究</w:t>
      </w:r>
    </w:p>
    <w:p w14:paraId="607581FC">
      <w:pPr>
        <w:keepNext/>
        <w:keepLines/>
        <w:pageBreakBefore w:val="0"/>
        <w:widowControl w:val="0"/>
        <w:kinsoku/>
        <w:wordWrap/>
        <w:overflowPunct/>
        <w:topLinePunct w:val="0"/>
        <w:autoSpaceDE/>
        <w:autoSpaceDN/>
        <w:bidi w:val="0"/>
        <w:spacing w:beforeLines="0" w:beforeAutospacing="0" w:afterLines="0" w:afterAutospacing="0" w:line="540" w:lineRule="exact"/>
        <w:ind w:firstLine="640" w:firstLineChars="200"/>
        <w:jc w:val="both"/>
        <w:textAlignment w:val="auto"/>
        <w:outlineLvl w:val="2"/>
        <w:rPr>
          <w:rFonts w:hint="eastAsia" w:ascii="Times New Roman" w:hAnsi="Times New Roman" w:eastAsia="楷体_GB2312" w:cs="Arial"/>
          <w:snapToGrid w:val="0"/>
          <w:color w:val="000000"/>
          <w:kern w:val="0"/>
          <w:sz w:val="32"/>
          <w:szCs w:val="21"/>
          <w:lang w:val="en-US" w:eastAsia="zh-CN" w:bidi="ar-SA"/>
        </w:rPr>
      </w:pPr>
      <w:r>
        <w:rPr>
          <w:rFonts w:hint="eastAsia" w:ascii="Times New Roman" w:hAnsi="Times New Roman" w:eastAsia="楷体_GB2312" w:cs="Arial"/>
          <w:snapToGrid w:val="0"/>
          <w:color w:val="000000"/>
          <w:kern w:val="0"/>
          <w:sz w:val="32"/>
          <w:szCs w:val="21"/>
          <w:lang w:val="en-US" w:eastAsia="zh-CN" w:bidi="ar-SA"/>
        </w:rPr>
        <w:t>（七）“新时代老区新貌”村史编纂研究</w:t>
      </w:r>
    </w:p>
    <w:p w14:paraId="110753F7">
      <w:pPr>
        <w:pStyle w:val="6"/>
        <w:keepNext w:val="0"/>
        <w:keepLines w:val="0"/>
        <w:pageBreakBefore w:val="0"/>
        <w:widowControl w:val="0"/>
        <w:kinsoku/>
        <w:wordWrap/>
        <w:overflowPunct/>
        <w:topLinePunct w:val="0"/>
        <w:autoSpaceDE/>
        <w:autoSpaceDN/>
        <w:bidi w:val="0"/>
        <w:spacing w:line="560" w:lineRule="exact"/>
        <w:textAlignment w:val="auto"/>
      </w:pPr>
      <w:r>
        <w:rPr>
          <w:rFonts w:hint="eastAsia" w:ascii="Times New Roman" w:hAnsi="Times New Roman" w:cs="Times New Roman"/>
          <w:color w:val="auto"/>
          <w:kern w:val="2"/>
          <w:sz w:val="32"/>
          <w:szCs w:val="32"/>
          <w:lang w:val="en-US" w:eastAsia="zh-CN" w:bidi="ar-SA"/>
        </w:rPr>
        <w:t>实行揭榜制。由所在单位，发动前期参加科普课题选题征集的项目自愿揭榜。重点课题给予资助。揭榜后纳入“社科规划科普应用研究在研项目库”。</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方正小标宋简体"/>
    <w:panose1 w:val="02000000000000000000"/>
    <w:charset w:val="00"/>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5B6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E567E">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35E567E">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53398"/>
    <w:rsid w:val="0631696C"/>
    <w:rsid w:val="065061E9"/>
    <w:rsid w:val="06EE2C48"/>
    <w:rsid w:val="0A7B72A1"/>
    <w:rsid w:val="12682DE7"/>
    <w:rsid w:val="1B131C78"/>
    <w:rsid w:val="24390B59"/>
    <w:rsid w:val="2B2F386A"/>
    <w:rsid w:val="32385EF0"/>
    <w:rsid w:val="35367CF0"/>
    <w:rsid w:val="36E32DED"/>
    <w:rsid w:val="3E222DC6"/>
    <w:rsid w:val="3E9402FD"/>
    <w:rsid w:val="443B0067"/>
    <w:rsid w:val="46207231"/>
    <w:rsid w:val="483250ED"/>
    <w:rsid w:val="4A7249E3"/>
    <w:rsid w:val="4C274D22"/>
    <w:rsid w:val="4D090380"/>
    <w:rsid w:val="5010226E"/>
    <w:rsid w:val="52C85E60"/>
    <w:rsid w:val="54B3589D"/>
    <w:rsid w:val="55D67CE1"/>
    <w:rsid w:val="56C53398"/>
    <w:rsid w:val="570B3C28"/>
    <w:rsid w:val="5CA81314"/>
    <w:rsid w:val="5F006375"/>
    <w:rsid w:val="6ED36561"/>
    <w:rsid w:val="7ADF0D25"/>
    <w:rsid w:val="7E3E2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880" w:firstLineChars="200"/>
      <w:jc w:val="both"/>
    </w:pPr>
    <w:rPr>
      <w:rFonts w:ascii="Calibri" w:hAnsi="Calibri" w:eastAsia="仿宋_GB2312" w:cs="Times New Roman"/>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Times New Roman" w:hAnsi="Times New Roman" w:eastAsia="方正小标宋简体"/>
      <w:kern w:val="44"/>
      <w:sz w:val="44"/>
    </w:rPr>
  </w:style>
  <w:style w:type="paragraph" w:styleId="3">
    <w:name w:val="heading 2"/>
    <w:basedOn w:val="1"/>
    <w:next w:val="1"/>
    <w:autoRedefine/>
    <w:semiHidden/>
    <w:unhideWhenUsed/>
    <w:qFormat/>
    <w:uiPriority w:val="0"/>
    <w:pPr>
      <w:keepNext/>
      <w:keepLines/>
      <w:spacing w:beforeLines="0" w:beforeAutospacing="0" w:afterLines="0" w:afterAutospacing="0" w:line="560" w:lineRule="exact"/>
      <w:ind w:firstLine="420" w:firstLineChars="200"/>
      <w:jc w:val="left"/>
      <w:outlineLvl w:val="1"/>
    </w:pPr>
    <w:rPr>
      <w:rFonts w:ascii="Times New Roman" w:hAnsi="Times New Roman" w:eastAsia="黑体" w:cs="Arial"/>
      <w:snapToGrid w:val="0"/>
      <w:color w:val="000000"/>
      <w:kern w:val="0"/>
      <w:sz w:val="32"/>
      <w:szCs w:val="21"/>
      <w:lang w:eastAsia="en-US"/>
    </w:rPr>
  </w:style>
  <w:style w:type="paragraph" w:styleId="4">
    <w:name w:val="heading 3"/>
    <w:basedOn w:val="1"/>
    <w:next w:val="1"/>
    <w:autoRedefine/>
    <w:semiHidden/>
    <w:unhideWhenUsed/>
    <w:qFormat/>
    <w:uiPriority w:val="0"/>
    <w:pPr>
      <w:keepNext/>
      <w:keepLines/>
      <w:spacing w:beforeLines="0" w:beforeAutospacing="0" w:afterLines="0" w:afterAutospacing="0" w:line="560" w:lineRule="exact"/>
      <w:ind w:firstLine="420" w:firstLineChars="200"/>
      <w:outlineLvl w:val="2"/>
    </w:pPr>
    <w:rPr>
      <w:rFonts w:ascii="Times New Roman" w:hAnsi="Times New Roman" w:eastAsia="楷体_GB2312" w:cs="Arial"/>
      <w:snapToGrid w:val="0"/>
      <w:color w:val="000000"/>
      <w:kern w:val="0"/>
      <w:sz w:val="32"/>
      <w:szCs w:val="21"/>
      <w:lang w:eastAsia="en-US"/>
    </w:rPr>
  </w:style>
  <w:style w:type="paragraph" w:styleId="5">
    <w:name w:val="heading 4"/>
    <w:basedOn w:val="1"/>
    <w:next w:val="1"/>
    <w:autoRedefine/>
    <w:semiHidden/>
    <w:unhideWhenUsed/>
    <w:qFormat/>
    <w:uiPriority w:val="0"/>
    <w:pPr>
      <w:keepNext/>
      <w:keepLines/>
      <w:spacing w:before="80" w:beforeLines="80" w:beforeAutospacing="0" w:after="70" w:afterLines="70" w:afterAutospacing="0" w:line="560" w:lineRule="exact"/>
      <w:ind w:firstLine="0" w:firstLineChars="0"/>
      <w:jc w:val="center"/>
      <w:outlineLvl w:val="3"/>
    </w:pPr>
    <w:rPr>
      <w:rFonts w:ascii="Times New Roman" w:hAnsi="Times New Roman" w:eastAsia="楷体_GB2312" w:cs="Arial"/>
      <w:snapToGrid w:val="0"/>
      <w:color w:val="000000"/>
      <w:kern w:val="0"/>
      <w:sz w:val="32"/>
      <w:szCs w:val="21"/>
      <w:lang w:eastAsia="en-US"/>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0"/>
    <w:pPr>
      <w:spacing w:line="560" w:lineRule="exact"/>
      <w:ind w:firstLine="420" w:firstLineChars="200"/>
    </w:pPr>
    <w:rPr>
      <w:rFonts w:ascii="仿宋" w:hAnsi="仿宋" w:eastAsia="仿宋_GB2312" w:cs="仿宋"/>
      <w:snapToGrid w:val="0"/>
      <w:color w:val="000000"/>
      <w:kern w:val="0"/>
      <w:szCs w:val="31"/>
      <w:lang w:eastAsia="en-US"/>
    </w:rPr>
  </w:style>
  <w:style w:type="paragraph" w:styleId="7">
    <w:name w:val="Body Text Indent"/>
    <w:basedOn w:val="1"/>
    <w:autoRedefine/>
    <w:qFormat/>
    <w:uiPriority w:val="0"/>
    <w:pPr>
      <w:spacing w:after="120" w:afterLines="0" w:afterAutospacing="0"/>
      <w:ind w:left="420" w:leftChars="200"/>
    </w:pPr>
  </w:style>
  <w:style w:type="paragraph" w:styleId="8">
    <w:name w:val="footer"/>
    <w:qFormat/>
    <w:uiPriority w:val="0"/>
    <w:pPr>
      <w:widowControl w:val="0"/>
      <w:tabs>
        <w:tab w:val="center" w:pos="4153"/>
        <w:tab w:val="right" w:pos="8306"/>
      </w:tabs>
      <w:snapToGrid w:val="0"/>
      <w:spacing w:line="560" w:lineRule="exact"/>
      <w:ind w:firstLine="880" w:firstLineChars="200"/>
      <w:jc w:val="left"/>
    </w:pPr>
    <w:rPr>
      <w:rFonts w:ascii="Calibri" w:hAnsi="Calibri" w:eastAsia="仿宋_GB2312" w:cs="Times New Roman"/>
      <w:kern w:val="2"/>
      <w:sz w:val="18"/>
      <w:szCs w:val="24"/>
      <w:lang w:val="en-US" w:eastAsia="zh-CN" w:bidi="ar-SA"/>
    </w:rPr>
  </w:style>
  <w:style w:type="paragraph" w:styleId="9">
    <w:name w:val="Body Text First Indent 2"/>
    <w:basedOn w:val="7"/>
    <w:autoRedefine/>
    <w:qFormat/>
    <w:uiPriority w:val="0"/>
    <w:pPr>
      <w:ind w:left="0" w:leftChars="0" w:firstLine="420" w:firstLineChars="200"/>
    </w:pPr>
    <w:rPr>
      <w:rFonts w:ascii="Times New Roman" w:hAnsi="Times New Roman"/>
    </w:rPr>
  </w:style>
  <w:style w:type="paragraph" w:customStyle="1" w:styleId="12">
    <w:name w:val="大标题"/>
    <w:basedOn w:val="1"/>
    <w:autoRedefine/>
    <w:qFormat/>
    <w:uiPriority w:val="0"/>
    <w:pPr>
      <w:spacing w:line="560" w:lineRule="exact"/>
      <w:ind w:firstLine="420" w:firstLineChars="200"/>
      <w:jc w:val="center"/>
    </w:pPr>
    <w:rPr>
      <w:rFonts w:hint="eastAsia" w:ascii="方正小标宋简体" w:hAnsi="方正小标宋简体" w:eastAsia="方正小标宋简体" w:cs="方正小标宋简体"/>
      <w:sz w:val="44"/>
      <w:szCs w:val="24"/>
    </w:rPr>
  </w:style>
  <w:style w:type="paragraph" w:customStyle="1" w:styleId="13">
    <w:name w:val="署名标题"/>
    <w:basedOn w:val="1"/>
    <w:autoRedefine/>
    <w:qFormat/>
    <w:uiPriority w:val="0"/>
    <w:pPr>
      <w:spacing w:before="80" w:beforeLines="80" w:after="70" w:afterLines="70" w:line="560" w:lineRule="exact"/>
      <w:jc w:val="center"/>
    </w:pPr>
    <w:rPr>
      <w:rFonts w:hint="eastAsia" w:ascii="方正小标宋简体" w:hAnsi="方正小标宋简体" w:eastAsia="楷体_GB2312" w:cs="方正小标宋简体"/>
      <w:sz w:val="32"/>
      <w:szCs w:val="24"/>
    </w:rPr>
  </w:style>
  <w:style w:type="paragraph" w:customStyle="1" w:styleId="14">
    <w:name w:val="一级标题"/>
    <w:basedOn w:val="1"/>
    <w:qFormat/>
    <w:uiPriority w:val="0"/>
    <w:pPr>
      <w:adjustRightInd w:val="0"/>
      <w:snapToGrid w:val="0"/>
      <w:spacing w:line="560" w:lineRule="exact"/>
      <w:ind w:firstLine="420" w:firstLineChars="200"/>
      <w:jc w:val="both"/>
    </w:pPr>
    <w:rPr>
      <w:rFonts w:hint="eastAsia" w:ascii="方正小标宋简体" w:hAnsi="方正小标宋简体" w:eastAsia="黑体" w:cs="方正小标宋简体"/>
      <w:szCs w:val="24"/>
    </w:rPr>
  </w:style>
  <w:style w:type="paragraph" w:customStyle="1" w:styleId="15">
    <w:name w:val="二级标题"/>
    <w:basedOn w:val="1"/>
    <w:autoRedefine/>
    <w:qFormat/>
    <w:uiPriority w:val="0"/>
    <w:pPr>
      <w:spacing w:line="560" w:lineRule="exact"/>
      <w:ind w:firstLine="420" w:firstLineChars="200"/>
      <w:jc w:val="both"/>
    </w:pPr>
    <w:rPr>
      <w:rFonts w:hint="eastAsia" w:ascii="方正小标宋简体" w:hAnsi="方正小标宋简体" w:eastAsia="楷体_GB2312" w:cs="方正小标宋简体"/>
      <w:sz w:val="32"/>
      <w:szCs w:val="24"/>
    </w:rPr>
  </w:style>
  <w:style w:type="paragraph" w:customStyle="1" w:styleId="16">
    <w:name w:val="正文公文"/>
    <w:basedOn w:val="1"/>
    <w:autoRedefine/>
    <w:qFormat/>
    <w:uiPriority w:val="0"/>
    <w:pPr>
      <w:spacing w:line="560" w:lineRule="exact"/>
      <w:ind w:firstLine="420" w:firstLineChars="200"/>
      <w:jc w:val="both"/>
    </w:pPr>
    <w:rPr>
      <w:rFonts w:ascii="Times New Roman" w:hAnsi="Times New Roman" w:eastAsia="Times New Roman"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343ab36b-478b-4171-99a4-8ec2507eb7d8</errorID>
      <errorWord>重</errorWord>
      <group>L1_Grammar</group>
      <groupName>语法问题</groupName>
      <ability>L2_Order</ability>
      <abilityName>语序不当</abilityName>
      <candidateList>
        <item>的重</item>
      </candidateList>
      <explain>句子可能没有遵循时空、逻辑顺序，或者介词、关联词等位置不当。</explain>
      <paraID>  D57414</paraID>
      <start>15</start>
      <end>16</end>
      <status>unmodified</status>
      <modifiedWord/>
      <trackRevisions>false</trackRevisions>
    </reviewItem>
    <reviewItem>
      <errorID>53c0a0fb-bcac-48fc-8dfe-c8ed0791fdb0</errorID>
      <errorWord>的长效机制</errorWord>
      <group>L1_Grammar</group>
      <groupName>语法问题</groupName>
      <ability>L2_Order</ability>
      <abilityName>语序不当</abilityName>
      <candidateList>
        <item>长效机制的</item>
      </candidateList>
      <explain>句子可能没有遵循时空、逻辑顺序，或者介词、关联词等位置不当。</explain>
      <paraID>5DCFD20F</paraID>
      <start>23</start>
      <end>28</end>
      <status>unmodified</status>
      <modifiedWord/>
      <trackRevisions>false</trackRevisions>
    </reviewItem>
    <reviewItem>
      <errorID>ba2c409d-7f3e-461d-a6c3-7ea210fed680</errorID>
      <errorWord>机制研究</errorWord>
      <group>L1_Grammar</group>
      <groupName>语法问题</groupName>
      <ability>L2_Order</ability>
      <abilityName>语序不当</abilityName>
      <candidateList>
        <item>研究机制</item>
      </candidateList>
      <explain>句子可能没有遵循时空、逻辑顺序，或者介词、关联词等位置不当。</explain>
      <paraID> FE236B1</paraID>
      <start>26</start>
      <end>30</end>
      <status>unmodified</status>
      <modifiedWord/>
      <trackRevisions>false</trackRevisions>
    </reviewItem>
    <reviewItem>
      <errorID>f45058df-8950-4f1b-86e7-af1a5ea17fc8</errorID>
      <errorWord>传承在</errorWord>
      <group>L1_Grammar</group>
      <groupName>语法问题</groupName>
      <ability>L2_Order</ability>
      <abilityName>语序不当</abilityName>
      <candidateList>
        <item>传承</item>
      </candidateList>
      <explain>句子可能没有遵循时空、逻辑顺序，或者介词、关联词等位置不当。</explain>
      <paraID>4B7A03A6</paraID>
      <start>13</start>
      <end>16</end>
      <status>unmodified</status>
      <modifiedWord/>
      <trackRevisions>false</trackRevisions>
    </reviewItem>
    <reviewItem>
      <errorID>369f09ff-b1e0-4d8a-8bb2-c454674a3184</errorID>
      <errorWord>详实</errorWord>
      <group>L1_Word</group>
      <groupName>字词问题</groupName>
      <ability>L2_Typo</ability>
      <abilityName>字词错误</abilityName>
      <candidateList>
        <item>翔实</item>
      </candidateList>
      <explain/>
      <paraID> 84EB2A5</paraID>
      <start>80</start>
      <end>82</end>
      <status>unmodified</status>
      <modifiedWord/>
      <trackRevisions>false</trackRevisions>
    </reviewItem>
    <reviewItem>
      <errorID>ce1a100c-2295-4f9e-85ba-55bb152a3153</errorID>
      <errorWord>：</errorWord>
      <group>L1_Format</group>
      <groupName>格式问题</groupName>
      <ability>L2_HalfPunc</ability>
      <abilityName>全半角检查</abilityName>
      <candidateList>
        <item>:</item>
      </candidateList>
      <explain>文本全半角错误。</explain>
      <paraID>18BBC14B</paraID>
      <start>6</start>
      <end>7</end>
      <status>unmodified</status>
      <modifiedWord/>
      <trackRevisions>false</trackRevisions>
    </reviewItem>
    <reviewItem>
      <errorID>09fcf528-7db7-4846-8dc9-dccf4bbd7d41</errorID>
      <errorWord>：</errorWord>
      <group>L1_Format</group>
      <groupName>格式问题</groupName>
      <ability>L2_HalfPunc</ability>
      <abilityName>全半角检查</abilityName>
      <candidateList>
        <item>:</item>
      </candidateList>
      <explain>文本全半角错误。</explain>
      <paraID>4D53D95E</paraID>
      <start>9</start>
      <end>10</end>
      <status>unmodified</status>
      <modifiedWord/>
      <trackRevisions>false</trackRevisions>
    </reviewItem>
    <reviewItem>
      <errorID>a6bec157-aed1-40f7-890f-747a0cb46e75</errorID>
      <errorWord>详实</errorWord>
      <group>L1_Word</group>
      <groupName>字词问题</groupName>
      <ability>L2_Typo</ability>
      <abilityName>字词错误</abilityName>
      <candidateList>
        <item>翔实</item>
      </candidateList>
      <explain/>
      <paraID>27EE6D89</paraID>
      <start>80</start>
      <end>82</end>
      <status>unmodified</status>
      <modifiedWord/>
      <trackRevisions>false</trackRevisions>
    </reviewItem>
    <reviewItem>
      <errorID>444d46e9-4bca-4060-b232-ef113fb088c1</errorID>
      <errorWord>详实</errorWord>
      <group>L1_Word</group>
      <groupName>字词问题</groupName>
      <ability>L2_Typo</ability>
      <abilityName>字词错误</abilityName>
      <candidateList>
        <item>翔实</item>
      </candidateList>
      <explain/>
      <paraID>7D974281</paraID>
      <start>80</start>
      <end>82</end>
      <status>unmodified</status>
      <modifiedWord/>
      <trackRevisions>false</trackRevisions>
    </reviewItem>
    <reviewItem>
      <errorID>62c18a48-d301-4102-82bd-dc897e6bb4bd</errorID>
      <errorWord>详实</errorWord>
      <group>L1_Word</group>
      <groupName>字词问题</groupName>
      <ability>L2_Typo</ability>
      <abilityName>字词错误</abilityName>
      <candidateList>
        <item>翔实</item>
      </candidateList>
      <explain/>
      <paraID>3F3E22AB</paraID>
      <start>53</start>
      <end>55</end>
      <status>unmodified</status>
      <modifiedWord/>
      <trackRevisions>false</trackRevisions>
    </reviewItem>
    <reviewItem>
      <errorID>fe44bc9e-71cd-4c23-9470-1c5654fcb269</errorID>
      <errorWord>详实</errorWord>
      <group>L1_Word</group>
      <groupName>字词问题</groupName>
      <ability>L2_Typo</ability>
      <abilityName>字词错误</abilityName>
      <candidateList>
        <item>翔实</item>
      </candidateList>
      <explain/>
      <paraID>66B40C31</paraID>
      <start>17</start>
      <end>19</end>
      <status>unmodified</status>
      <modifiedWord/>
      <trackRevisions>false</trackRevisions>
    </reviewItem>
    <reviewItem>
      <errorID>15869ede-b52f-44b7-bf56-4ad6fd8a55a4</errorID>
      <errorWord>特色产业群</errorWord>
      <group>L1_Political</group>
      <groupName>政治性问题</groupName>
      <ability>L2_Keyword</ability>
      <abilityName>固定表述</abilityName>
      <candidateList>
        <item>特色产业集群</item>
      </candidateList>
      <explain>词汇“特色产业集群”在特定场景下为固定表述形式，请确认此处的“特色产业群”是否存在不当。</explain>
      <paraID>45A6E2E8</paraID>
      <start>69</start>
      <end>74</end>
      <status>unmodified</status>
      <modifiedWord/>
      <trackRevisions>false</trackRevisions>
    </reviewItem>
    <reviewItem>
      <errorID>e63a6ecb-8b2e-4f96-8b79-7b71054ef7b6</errorID>
      <errorWord>，</errorWord>
      <group>L1_Word</group>
      <groupName>字词问题</groupName>
      <ability>L2_Typo</ability>
      <abilityName>字词错误</abilityName>
      <candidateList>
        <item>，为</item>
      </candidateList>
      <explain/>
      <paraID>5859F19E</paraID>
      <start>56</start>
      <end>57</end>
      <status>unmodified</status>
      <modifiedWord/>
      <trackRevisions>false</trackRevisions>
    </reviewItem>
    <reviewItem>
      <errorID>44ae1baa-f358-4151-a15a-3097104e45b1</errorID>
      <errorWord>详实</errorWord>
      <group>L1_Word</group>
      <groupName>字词问题</groupName>
      <ability>L2_Typo</ability>
      <abilityName>字词错误</abilityName>
      <candidateList>
        <item>翔实</item>
      </candidateList>
      <explain/>
      <paraID> 1AB3AD6</paraID>
      <start>178</start>
      <end>180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3f2309-dfda-4746-a3a6-a7ac00fc4a8f}">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7390</Words>
  <Characters>7663</Characters>
  <Lines>0</Lines>
  <Paragraphs>0</Paragraphs>
  <TotalTime>0</TotalTime>
  <ScaleCrop>false</ScaleCrop>
  <LinksUpToDate>false</LinksUpToDate>
  <CharactersWithSpaces>7702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2026-02-12T09:05:00Z</dcterms:created>
  <dc:creator>雪狼</dc:creator>
  <cp:lastModifiedBy>雪狼</cp:lastModifiedBy>
  <dcterms:modified xsi:type="dcterms:W3CDTF">2026-02-14T00:33:07Z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1E16AEDD7BF74DF98DED955FD5B30A69_11</vt:lpwstr>
  </property>
  <property fmtid="{D5CDD505-2E9C-101B-9397-08002B2CF9AE}" pid="4" name="KSOTemplateDocerSaveRecord">
    <vt:lpwstr>eyJoZGlkIjoiNDJhY2U3NjZhZjlhZDJmYTE2MDUxMGQxNzA3YzZmZDkiLCJ1c2VySWQiOiIzMjAwMTg2ODkifQ==</vt:lpwstr>
  </property>
</Properties>
</file>